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1F" w:rsidRPr="00791EF6" w:rsidRDefault="0010731F" w:rsidP="0068104D">
      <w:pPr>
        <w:jc w:val="center"/>
        <w:rPr>
          <w:snapToGrid w:val="0"/>
          <w:szCs w:val="24"/>
          <w:lang w:eastAsia="en-US"/>
        </w:rPr>
      </w:pPr>
    </w:p>
    <w:p w:rsidR="0010731F" w:rsidRPr="00791EF6" w:rsidRDefault="0010731F" w:rsidP="0068104D">
      <w:pPr>
        <w:jc w:val="center"/>
        <w:rPr>
          <w:snapToGrid w:val="0"/>
          <w:szCs w:val="24"/>
          <w:lang w:eastAsia="en-US"/>
        </w:rPr>
      </w:pPr>
    </w:p>
    <w:p w:rsidR="00EC6427" w:rsidRPr="00110305" w:rsidRDefault="00EC6427" w:rsidP="0068104D">
      <w:pPr>
        <w:jc w:val="center"/>
      </w:pPr>
    </w:p>
    <w:p w:rsidR="00EC6427" w:rsidRPr="00110305" w:rsidRDefault="00110305" w:rsidP="0068104D">
      <w:pPr>
        <w:jc w:val="center"/>
      </w:pPr>
      <w:r w:rsidRPr="00110305">
        <w:t>DEUXIÈME SECTION</w:t>
      </w:r>
    </w:p>
    <w:p w:rsidR="0010731F" w:rsidRDefault="0010731F" w:rsidP="0068104D">
      <w:pPr>
        <w:jc w:val="center"/>
        <w:rPr>
          <w:b/>
        </w:rPr>
      </w:pPr>
      <w:bookmarkStart w:id="0" w:name="To"/>
    </w:p>
    <w:p w:rsidR="0010731F" w:rsidRDefault="0010731F" w:rsidP="0068104D">
      <w:pPr>
        <w:jc w:val="center"/>
        <w:rPr>
          <w:b/>
        </w:rPr>
      </w:pPr>
    </w:p>
    <w:p w:rsidR="0010731F" w:rsidRDefault="0010731F" w:rsidP="0068104D">
      <w:pPr>
        <w:jc w:val="center"/>
        <w:rPr>
          <w:b/>
        </w:rPr>
      </w:pPr>
    </w:p>
    <w:p w:rsidR="0010731F" w:rsidRDefault="0010731F" w:rsidP="0068104D">
      <w:pPr>
        <w:jc w:val="center"/>
        <w:rPr>
          <w:b/>
        </w:rPr>
      </w:pPr>
    </w:p>
    <w:p w:rsidR="0010731F" w:rsidRDefault="0010731F" w:rsidP="0068104D">
      <w:pPr>
        <w:jc w:val="center"/>
        <w:rPr>
          <w:b/>
        </w:rPr>
      </w:pPr>
    </w:p>
    <w:p w:rsidR="00EC6427" w:rsidRPr="00110305" w:rsidRDefault="00EC6427" w:rsidP="0068104D">
      <w:pPr>
        <w:jc w:val="center"/>
        <w:rPr>
          <w:b/>
        </w:rPr>
      </w:pPr>
      <w:r w:rsidRPr="00110305">
        <w:rPr>
          <w:b/>
        </w:rPr>
        <w:t xml:space="preserve">AFFAIRE </w:t>
      </w:r>
      <w:bookmarkEnd w:id="0"/>
      <w:r w:rsidR="00110305" w:rsidRPr="00110305">
        <w:rPr>
          <w:b/>
        </w:rPr>
        <w:t>CUSAN ET FAZZO c. ITALIE</w:t>
      </w:r>
    </w:p>
    <w:p w:rsidR="00EC6427" w:rsidRPr="00110305" w:rsidRDefault="00EC6427" w:rsidP="0068104D">
      <w:pPr>
        <w:jc w:val="center"/>
      </w:pPr>
    </w:p>
    <w:p w:rsidR="002D70E0" w:rsidRDefault="00EC6427" w:rsidP="002D70E0">
      <w:pPr>
        <w:jc w:val="center"/>
        <w:rPr>
          <w:i/>
        </w:rPr>
      </w:pPr>
      <w:r w:rsidRPr="00110305">
        <w:rPr>
          <w:i/>
        </w:rPr>
        <w:t>(</w:t>
      </w:r>
      <w:r w:rsidR="00110305" w:rsidRPr="00110305">
        <w:rPr>
          <w:i/>
        </w:rPr>
        <w:t>Requête n</w:t>
      </w:r>
      <w:r w:rsidR="00110305" w:rsidRPr="00110305">
        <w:rPr>
          <w:i/>
          <w:vertAlign w:val="superscript"/>
        </w:rPr>
        <w:t>o</w:t>
      </w:r>
      <w:r w:rsidR="00110305" w:rsidRPr="00110305">
        <w:rPr>
          <w:i/>
        </w:rPr>
        <w:t xml:space="preserve"> 77/07</w:t>
      </w:r>
      <w:r w:rsidRPr="00110305">
        <w:rPr>
          <w:i/>
        </w:rPr>
        <w:t>)</w:t>
      </w:r>
    </w:p>
    <w:p w:rsidR="0010731F" w:rsidRDefault="0010731F" w:rsidP="002D70E0">
      <w:pPr>
        <w:jc w:val="center"/>
        <w:rPr>
          <w:szCs w:val="24"/>
        </w:rPr>
      </w:pPr>
    </w:p>
    <w:p w:rsidR="0010731F" w:rsidRDefault="0010731F" w:rsidP="002D70E0">
      <w:pPr>
        <w:jc w:val="center"/>
        <w:rPr>
          <w:szCs w:val="24"/>
        </w:rPr>
      </w:pPr>
    </w:p>
    <w:p w:rsidR="0010731F" w:rsidRDefault="0010731F" w:rsidP="002D70E0">
      <w:pPr>
        <w:jc w:val="center"/>
        <w:rPr>
          <w:szCs w:val="24"/>
        </w:rPr>
      </w:pPr>
    </w:p>
    <w:p w:rsidR="0010731F" w:rsidRDefault="0010731F" w:rsidP="002D70E0">
      <w:pPr>
        <w:jc w:val="center"/>
        <w:rPr>
          <w:szCs w:val="24"/>
        </w:rPr>
      </w:pPr>
    </w:p>
    <w:p w:rsidR="0010731F" w:rsidRDefault="0010731F" w:rsidP="002D70E0">
      <w:pPr>
        <w:jc w:val="center"/>
        <w:rPr>
          <w:szCs w:val="24"/>
        </w:rPr>
      </w:pPr>
    </w:p>
    <w:p w:rsidR="0010731F" w:rsidRDefault="0010731F" w:rsidP="002D70E0">
      <w:pPr>
        <w:jc w:val="center"/>
        <w:rPr>
          <w:szCs w:val="24"/>
        </w:rPr>
      </w:pPr>
    </w:p>
    <w:p w:rsidR="0010731F" w:rsidRDefault="0010731F" w:rsidP="002D70E0">
      <w:pPr>
        <w:jc w:val="center"/>
        <w:rPr>
          <w:szCs w:val="24"/>
        </w:rPr>
      </w:pPr>
    </w:p>
    <w:p w:rsidR="0010731F" w:rsidRDefault="0010731F" w:rsidP="002D70E0">
      <w:pPr>
        <w:jc w:val="center"/>
        <w:rPr>
          <w:szCs w:val="24"/>
        </w:rPr>
      </w:pPr>
    </w:p>
    <w:p w:rsidR="0010731F" w:rsidRPr="0010731F" w:rsidRDefault="0010731F" w:rsidP="0010731F">
      <w:pPr>
        <w:jc w:val="center"/>
        <w:rPr>
          <w:szCs w:val="24"/>
        </w:rPr>
      </w:pPr>
      <w:r>
        <w:rPr>
          <w:szCs w:val="24"/>
        </w:rPr>
        <w:t>ARRÊT</w:t>
      </w:r>
    </w:p>
    <w:p w:rsidR="0010731F" w:rsidRPr="0010731F" w:rsidRDefault="0010731F" w:rsidP="0010731F">
      <w:pPr>
        <w:jc w:val="center"/>
        <w:rPr>
          <w:szCs w:val="24"/>
        </w:rPr>
      </w:pPr>
    </w:p>
    <w:p w:rsidR="0010731F" w:rsidRDefault="0010731F" w:rsidP="002D70E0">
      <w:pPr>
        <w:jc w:val="center"/>
        <w:rPr>
          <w:szCs w:val="24"/>
          <w:highlight w:val="yellow"/>
          <w:u w:val="single"/>
        </w:rPr>
      </w:pPr>
    </w:p>
    <w:p w:rsidR="0010731F" w:rsidRDefault="0010731F" w:rsidP="002D70E0">
      <w:pPr>
        <w:jc w:val="center"/>
        <w:rPr>
          <w:szCs w:val="24"/>
          <w:highlight w:val="yellow"/>
          <w:u w:val="single"/>
        </w:rPr>
      </w:pPr>
    </w:p>
    <w:p w:rsidR="0010731F" w:rsidRDefault="0010731F" w:rsidP="002D70E0">
      <w:pPr>
        <w:jc w:val="center"/>
        <w:rPr>
          <w:szCs w:val="24"/>
          <w:highlight w:val="yellow"/>
          <w:u w:val="single"/>
        </w:rPr>
      </w:pPr>
    </w:p>
    <w:p w:rsidR="0010731F" w:rsidRPr="0096108B" w:rsidRDefault="0010731F" w:rsidP="002D70E0">
      <w:pPr>
        <w:jc w:val="center"/>
        <w:rPr>
          <w:szCs w:val="24"/>
        </w:rPr>
      </w:pPr>
      <w:r w:rsidRPr="0096108B">
        <w:rPr>
          <w:szCs w:val="24"/>
        </w:rPr>
        <w:t>STRASBOURG</w:t>
      </w:r>
    </w:p>
    <w:p w:rsidR="0010731F" w:rsidRPr="0010731F" w:rsidRDefault="0010731F" w:rsidP="002D70E0">
      <w:pPr>
        <w:jc w:val="center"/>
        <w:rPr>
          <w:szCs w:val="24"/>
          <w:u w:val="single"/>
        </w:rPr>
      </w:pPr>
    </w:p>
    <w:p w:rsidR="0010731F" w:rsidRPr="0010731F" w:rsidRDefault="0010731F" w:rsidP="002D70E0">
      <w:pPr>
        <w:jc w:val="center"/>
        <w:rPr>
          <w:szCs w:val="24"/>
        </w:rPr>
      </w:pPr>
      <w:r w:rsidRPr="0010731F">
        <w:rPr>
          <w:szCs w:val="24"/>
        </w:rPr>
        <w:t>7 janvier 2014</w:t>
      </w:r>
    </w:p>
    <w:p w:rsidR="0010731F" w:rsidRPr="0010731F" w:rsidRDefault="0010731F" w:rsidP="002D70E0">
      <w:pPr>
        <w:jc w:val="center"/>
        <w:rPr>
          <w:szCs w:val="24"/>
        </w:rPr>
      </w:pPr>
    </w:p>
    <w:p w:rsidR="0010731F" w:rsidRDefault="0010731F" w:rsidP="0010731F">
      <w:pPr>
        <w:jc w:val="center"/>
        <w:rPr>
          <w:szCs w:val="24"/>
        </w:rPr>
      </w:pPr>
    </w:p>
    <w:p w:rsidR="0010731F" w:rsidRDefault="0010731F" w:rsidP="0010731F">
      <w:pPr>
        <w:jc w:val="center"/>
        <w:rPr>
          <w:szCs w:val="24"/>
        </w:rPr>
      </w:pPr>
    </w:p>
    <w:p w:rsidR="0010731F" w:rsidRDefault="0010731F" w:rsidP="0010731F">
      <w:pPr>
        <w:jc w:val="center"/>
        <w:rPr>
          <w:szCs w:val="24"/>
        </w:rPr>
      </w:pPr>
    </w:p>
    <w:p w:rsidR="0010731F" w:rsidRPr="0010731F" w:rsidRDefault="0010731F" w:rsidP="002D70E0">
      <w:pPr>
        <w:jc w:val="center"/>
        <w:rPr>
          <w:szCs w:val="24"/>
        </w:rPr>
      </w:pPr>
    </w:p>
    <w:p w:rsidR="0010731F" w:rsidRPr="0010731F" w:rsidRDefault="0010731F" w:rsidP="0010731F">
      <w:pPr>
        <w:jc w:val="both"/>
        <w:rPr>
          <w:szCs w:val="24"/>
        </w:rPr>
      </w:pPr>
      <w:r w:rsidRPr="0010731F">
        <w:rPr>
          <w:i/>
          <w:sz w:val="22"/>
          <w:szCs w:val="24"/>
        </w:rPr>
        <w:t>Cet arrêt deviendra définitif dans les conditions définies à l</w:t>
      </w:r>
      <w:r w:rsidR="00785BC1">
        <w:rPr>
          <w:i/>
          <w:sz w:val="22"/>
          <w:szCs w:val="24"/>
        </w:rPr>
        <w:t>’</w:t>
      </w:r>
      <w:r w:rsidRPr="0010731F">
        <w:rPr>
          <w:i/>
          <w:sz w:val="22"/>
          <w:szCs w:val="24"/>
        </w:rPr>
        <w:t>article 44 § 2 de</w:t>
      </w:r>
      <w:r>
        <w:rPr>
          <w:i/>
          <w:sz w:val="22"/>
          <w:szCs w:val="24"/>
        </w:rPr>
        <w:t> </w:t>
      </w:r>
      <w:r w:rsidRPr="0010731F">
        <w:rPr>
          <w:i/>
          <w:sz w:val="22"/>
          <w:szCs w:val="24"/>
        </w:rPr>
        <w:t>la Convention. Il peut subir des retouches de forme.</w:t>
      </w:r>
    </w:p>
    <w:p w:rsidR="00870EE5" w:rsidRPr="00860253" w:rsidRDefault="00870EE5" w:rsidP="00922F45">
      <w:pPr>
        <w:jc w:val="both"/>
        <w:rPr>
          <w:sz w:val="22"/>
          <w:szCs w:val="22"/>
        </w:rPr>
      </w:pPr>
    </w:p>
    <w:p w:rsidR="0010731F" w:rsidRDefault="0010731F" w:rsidP="0068104D">
      <w:pPr>
        <w:pStyle w:val="JuCase"/>
        <w:sectPr w:rsidR="0010731F" w:rsidSect="0010731F">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EC6427" w:rsidRPr="00110305" w:rsidRDefault="00EC6427" w:rsidP="0068104D">
      <w:pPr>
        <w:pStyle w:val="JuCase"/>
      </w:pPr>
      <w:r w:rsidRPr="00110305">
        <w:t>En l</w:t>
      </w:r>
      <w:r w:rsidR="00785BC1">
        <w:t>’</w:t>
      </w:r>
      <w:r w:rsidRPr="00110305">
        <w:t xml:space="preserve">affaire </w:t>
      </w:r>
      <w:r w:rsidR="00110305" w:rsidRPr="00110305">
        <w:t>Cusan et Fazzo c. Italie</w:t>
      </w:r>
      <w:r w:rsidRPr="00110305">
        <w:t>,</w:t>
      </w:r>
    </w:p>
    <w:p w:rsidR="00362D1F" w:rsidRPr="00110305" w:rsidRDefault="00EC6427" w:rsidP="0068104D">
      <w:pPr>
        <w:pStyle w:val="JuPara"/>
      </w:pPr>
      <w:r w:rsidRPr="00110305">
        <w:t xml:space="preserve">La Cour européenne des </w:t>
      </w:r>
      <w:r w:rsidR="00445E54" w:rsidRPr="00110305">
        <w:t>d</w:t>
      </w:r>
      <w:r w:rsidRPr="00110305">
        <w:t>roits de l</w:t>
      </w:r>
      <w:r w:rsidR="00785BC1">
        <w:t>’</w:t>
      </w:r>
      <w:r w:rsidR="00445E54" w:rsidRPr="00110305">
        <w:t>h</w:t>
      </w:r>
      <w:r w:rsidRPr="00110305">
        <w:t>omme</w:t>
      </w:r>
      <w:r w:rsidR="00DE593D" w:rsidRPr="00110305">
        <w:t xml:space="preserve"> (</w:t>
      </w:r>
      <w:r w:rsidR="00110305" w:rsidRPr="00110305">
        <w:t>deuxième section</w:t>
      </w:r>
      <w:r w:rsidR="00DE593D" w:rsidRPr="00110305">
        <w:t>)</w:t>
      </w:r>
      <w:r w:rsidRPr="00110305">
        <w:t xml:space="preserve">, siégeant en </w:t>
      </w:r>
      <w:r w:rsidR="00110305" w:rsidRPr="00110305">
        <w:t>une chambre composée</w:t>
      </w:r>
      <w:r w:rsidR="004702BA" w:rsidRPr="00110305">
        <w:t xml:space="preserve"> </w:t>
      </w:r>
      <w:r w:rsidR="00362D1F" w:rsidRPr="00110305">
        <w:t>de :</w:t>
      </w:r>
    </w:p>
    <w:p w:rsidR="0009234F" w:rsidRPr="00110305" w:rsidRDefault="004457D8" w:rsidP="0068104D">
      <w:pPr>
        <w:pStyle w:val="JuJudges"/>
      </w:pPr>
      <w:r w:rsidRPr="004457D8">
        <w:tab/>
        <w:t>Işıl</w:t>
      </w:r>
      <w:r>
        <w:t xml:space="preserve"> </w:t>
      </w:r>
      <w:r w:rsidRPr="004457D8">
        <w:t>Karakaş</w:t>
      </w:r>
      <w:r>
        <w:t>,</w:t>
      </w:r>
      <w:r w:rsidRPr="004457D8">
        <w:rPr>
          <w:i/>
        </w:rPr>
        <w:t xml:space="preserve"> présidente,</w:t>
      </w:r>
      <w:r>
        <w:rPr>
          <w:i/>
        </w:rPr>
        <w:br/>
      </w:r>
      <w:r w:rsidRPr="004457D8">
        <w:tab/>
        <w:t>Guido</w:t>
      </w:r>
      <w:r>
        <w:t xml:space="preserve"> </w:t>
      </w:r>
      <w:r w:rsidRPr="004457D8">
        <w:t>Raimondi</w:t>
      </w:r>
      <w:r>
        <w:t>,</w:t>
      </w:r>
      <w:r>
        <w:rPr>
          <w:i/>
        </w:rPr>
        <w:br/>
      </w:r>
      <w:r w:rsidRPr="004457D8">
        <w:tab/>
        <w:t>Peer</w:t>
      </w:r>
      <w:r>
        <w:t xml:space="preserve"> </w:t>
      </w:r>
      <w:r w:rsidRPr="004457D8">
        <w:t>Lorenzen</w:t>
      </w:r>
      <w:r>
        <w:t>,</w:t>
      </w:r>
      <w:r>
        <w:rPr>
          <w:i/>
        </w:rPr>
        <w:br/>
      </w:r>
      <w:r w:rsidRPr="004457D8">
        <w:tab/>
        <w:t>Dragoljub</w:t>
      </w:r>
      <w:r>
        <w:t xml:space="preserve"> </w:t>
      </w:r>
      <w:r w:rsidRPr="004457D8">
        <w:t>Popović</w:t>
      </w:r>
      <w:r>
        <w:t>,</w:t>
      </w:r>
      <w:r>
        <w:rPr>
          <w:i/>
        </w:rPr>
        <w:br/>
      </w:r>
      <w:r w:rsidRPr="004457D8">
        <w:tab/>
        <w:t>András</w:t>
      </w:r>
      <w:r>
        <w:t xml:space="preserve"> </w:t>
      </w:r>
      <w:r w:rsidRPr="004457D8">
        <w:t>Sajó</w:t>
      </w:r>
      <w:r>
        <w:t>,</w:t>
      </w:r>
      <w:r>
        <w:rPr>
          <w:i/>
        </w:rPr>
        <w:br/>
      </w:r>
      <w:r w:rsidRPr="004457D8">
        <w:tab/>
        <w:t>Paulo</w:t>
      </w:r>
      <w:r>
        <w:t xml:space="preserve"> </w:t>
      </w:r>
      <w:r w:rsidRPr="004457D8">
        <w:t>Pinto de Albuquerque</w:t>
      </w:r>
      <w:r>
        <w:t>,</w:t>
      </w:r>
      <w:r>
        <w:rPr>
          <w:i/>
        </w:rPr>
        <w:br/>
      </w:r>
      <w:r w:rsidRPr="004457D8">
        <w:tab/>
        <w:t>Helen</w:t>
      </w:r>
      <w:r>
        <w:t xml:space="preserve"> </w:t>
      </w:r>
      <w:r w:rsidRPr="004457D8">
        <w:t>Keller</w:t>
      </w:r>
      <w:r>
        <w:t>,</w:t>
      </w:r>
      <w:r w:rsidRPr="004457D8">
        <w:rPr>
          <w:i/>
        </w:rPr>
        <w:t xml:space="preserve"> juges,</w:t>
      </w:r>
      <w:r>
        <w:rPr>
          <w:i/>
        </w:rPr>
        <w:br/>
      </w:r>
      <w:r w:rsidR="0009234F" w:rsidRPr="00110305">
        <w:t xml:space="preserve">et de </w:t>
      </w:r>
      <w:r w:rsidR="00110305" w:rsidRPr="00110305">
        <w:t>Stanley Naismith</w:t>
      </w:r>
      <w:r w:rsidR="004E3393" w:rsidRPr="00110305">
        <w:t xml:space="preserve">, </w:t>
      </w:r>
      <w:r w:rsidR="00110305" w:rsidRPr="00110305">
        <w:rPr>
          <w:i/>
        </w:rPr>
        <w:t>greffier</w:t>
      </w:r>
      <w:r w:rsidR="00110305" w:rsidRPr="00110305">
        <w:rPr>
          <w:iCs/>
        </w:rPr>
        <w:t xml:space="preserve"> </w:t>
      </w:r>
      <w:r w:rsidR="00110305" w:rsidRPr="00110305">
        <w:rPr>
          <w:i/>
          <w:iCs/>
        </w:rPr>
        <w:t>d</w:t>
      </w:r>
      <w:r w:rsidR="00110305" w:rsidRPr="00110305">
        <w:rPr>
          <w:i/>
        </w:rPr>
        <w:t>e section</w:t>
      </w:r>
      <w:r w:rsidR="0009234F" w:rsidRPr="00110305">
        <w:rPr>
          <w:i/>
        </w:rPr>
        <w:t>,</w:t>
      </w:r>
    </w:p>
    <w:p w:rsidR="00EC6427" w:rsidRPr="00110305" w:rsidRDefault="00EC6427" w:rsidP="0068104D">
      <w:pPr>
        <w:pStyle w:val="JuPara"/>
      </w:pPr>
      <w:r w:rsidRPr="00110305">
        <w:t xml:space="preserve">Après en avoir délibéré en chambre du conseil le </w:t>
      </w:r>
      <w:r w:rsidR="004457D8">
        <w:t>26 novembre 2013</w:t>
      </w:r>
      <w:r w:rsidRPr="00110305">
        <w:t>,</w:t>
      </w:r>
    </w:p>
    <w:p w:rsidR="00EC6427" w:rsidRPr="00110305" w:rsidRDefault="00EC6427" w:rsidP="0068104D">
      <w:pPr>
        <w:pStyle w:val="JuPara"/>
      </w:pPr>
      <w:r w:rsidRPr="00110305">
        <w:t>Rend l</w:t>
      </w:r>
      <w:r w:rsidR="00785BC1">
        <w:t>’</w:t>
      </w:r>
      <w:r w:rsidRPr="00110305">
        <w:t>arrêt que voici, adopté à cette date :</w:t>
      </w:r>
    </w:p>
    <w:p w:rsidR="00EC6427" w:rsidRPr="00110305" w:rsidRDefault="00EC6427" w:rsidP="00B33C50">
      <w:pPr>
        <w:pStyle w:val="JuHHead"/>
      </w:pPr>
      <w:r w:rsidRPr="00110305">
        <w:t>PROCÉDURE</w:t>
      </w:r>
    </w:p>
    <w:p w:rsidR="00EC6427" w:rsidRPr="00110305" w:rsidRDefault="00110305" w:rsidP="00E90227">
      <w:pPr>
        <w:pStyle w:val="JuPara"/>
      </w:pPr>
      <w:r w:rsidRPr="00110305">
        <w:fldChar w:fldCharType="begin"/>
      </w:r>
      <w:r w:rsidRPr="00110305">
        <w:instrText xml:space="preserve"> SEQ level0 \*arabic </w:instrText>
      </w:r>
      <w:r w:rsidRPr="00110305">
        <w:fldChar w:fldCharType="separate"/>
      </w:r>
      <w:r w:rsidR="00152465">
        <w:rPr>
          <w:noProof/>
        </w:rPr>
        <w:t>1</w:t>
      </w:r>
      <w:r w:rsidRPr="00110305">
        <w:fldChar w:fldCharType="end"/>
      </w:r>
      <w:r w:rsidR="00EC6427" w:rsidRPr="00110305">
        <w:t>.  A l</w:t>
      </w:r>
      <w:r w:rsidR="00785BC1">
        <w:t>’</w:t>
      </w:r>
      <w:r w:rsidR="00EC6427" w:rsidRPr="00110305">
        <w:t>origine de l</w:t>
      </w:r>
      <w:r w:rsidR="00785BC1">
        <w:t>’</w:t>
      </w:r>
      <w:r w:rsidR="00EC6427" w:rsidRPr="00110305">
        <w:t xml:space="preserve">affaire </w:t>
      </w:r>
      <w:r w:rsidRPr="00110305">
        <w:t>se trouve une requête (n</w:t>
      </w:r>
      <w:r w:rsidR="0010731F" w:rsidRPr="0010731F">
        <w:rPr>
          <w:vertAlign w:val="superscript"/>
        </w:rPr>
        <w:t>o</w:t>
      </w:r>
      <w:r w:rsidRPr="00110305">
        <w:t xml:space="preserve"> 77/07) dirigée</w:t>
      </w:r>
      <w:r w:rsidR="00EC6427" w:rsidRPr="00110305">
        <w:t xml:space="preserve"> contre </w:t>
      </w:r>
      <w:r w:rsidRPr="00110305">
        <w:t>la République italienne</w:t>
      </w:r>
      <w:r w:rsidR="00EC6427" w:rsidRPr="00110305">
        <w:t xml:space="preserve"> et dont </w:t>
      </w:r>
      <w:r>
        <w:t>deux</w:t>
      </w:r>
      <w:r w:rsidRPr="00110305">
        <w:t xml:space="preserve"> ressortissants de cet </w:t>
      </w:r>
      <w:r w:rsidR="004457D8" w:rsidRPr="00110305">
        <w:t>État</w:t>
      </w:r>
      <w:r w:rsidRPr="00110305">
        <w:t>, M</w:t>
      </w:r>
      <w:r w:rsidRPr="00110305">
        <w:rPr>
          <w:vertAlign w:val="superscript"/>
        </w:rPr>
        <w:t>me</w:t>
      </w:r>
      <w:r>
        <w:t> </w:t>
      </w:r>
      <w:r w:rsidRPr="00110305">
        <w:t xml:space="preserve">Alessandra Cusan et </w:t>
      </w:r>
      <w:r>
        <w:t>M.</w:t>
      </w:r>
      <w:r w:rsidR="00C614EE">
        <w:t> </w:t>
      </w:r>
      <w:r>
        <w:t>Luigi Fazzo</w:t>
      </w:r>
      <w:r w:rsidRPr="00110305">
        <w:t xml:space="preserve"> (« les requérants »), ont saisi la Cour le 13 décembre 2006</w:t>
      </w:r>
      <w:r w:rsidR="00EC6427" w:rsidRPr="00110305">
        <w:t xml:space="preserve"> en vertu de </w:t>
      </w:r>
      <w:r w:rsidRPr="00110305">
        <w:t>l</w:t>
      </w:r>
      <w:r w:rsidR="00785BC1">
        <w:t>’</w:t>
      </w:r>
      <w:r w:rsidRPr="00110305">
        <w:t>article</w:t>
      </w:r>
      <w:r w:rsidR="00C614EE">
        <w:t xml:space="preserve"> </w:t>
      </w:r>
      <w:r w:rsidRPr="00110305">
        <w:t>34</w:t>
      </w:r>
      <w:r w:rsidR="00EC6427" w:rsidRPr="00110305">
        <w:t xml:space="preserve"> de la Convention de sauvegarde des </w:t>
      </w:r>
      <w:r w:rsidR="00445E54" w:rsidRPr="00110305">
        <w:t>d</w:t>
      </w:r>
      <w:r w:rsidR="00EC6427" w:rsidRPr="00110305">
        <w:t>roits de l</w:t>
      </w:r>
      <w:r w:rsidR="00785BC1">
        <w:t>’</w:t>
      </w:r>
      <w:r w:rsidR="00445E54" w:rsidRPr="00110305">
        <w:t>h</w:t>
      </w:r>
      <w:r w:rsidR="00DC1AF9" w:rsidRPr="00110305">
        <w:t>omme et des l</w:t>
      </w:r>
      <w:r w:rsidR="00EC6427" w:rsidRPr="00110305">
        <w:t>ibertés fondamentales (« la Convention »).</w:t>
      </w:r>
    </w:p>
    <w:p w:rsidR="002D70E0" w:rsidRDefault="00110305" w:rsidP="004653D9">
      <w:pPr>
        <w:pStyle w:val="JuPara"/>
      </w:pPr>
      <w:r w:rsidRPr="00110305">
        <w:fldChar w:fldCharType="begin"/>
      </w:r>
      <w:r w:rsidRPr="00110305">
        <w:instrText xml:space="preserve"> SEQ level0 \*arabic </w:instrText>
      </w:r>
      <w:r w:rsidRPr="00110305">
        <w:fldChar w:fldCharType="separate"/>
      </w:r>
      <w:r w:rsidR="00152465">
        <w:rPr>
          <w:noProof/>
        </w:rPr>
        <w:t>2</w:t>
      </w:r>
      <w:r w:rsidRPr="00110305">
        <w:fldChar w:fldCharType="end"/>
      </w:r>
      <w:r w:rsidR="00EC6427" w:rsidRPr="00110305">
        <w:t xml:space="preserve">.  Le gouvernement </w:t>
      </w:r>
      <w:r w:rsidRPr="00110305">
        <w:t>italien</w:t>
      </w:r>
      <w:r w:rsidR="00EC6427" w:rsidRPr="00110305">
        <w:t xml:space="preserve"> (« le Gouvernement ») </w:t>
      </w:r>
      <w:r w:rsidR="00D603FB" w:rsidRPr="00110305">
        <w:t>a été</w:t>
      </w:r>
      <w:r w:rsidR="00EC6427" w:rsidRPr="00110305">
        <w:t xml:space="preserve"> représenté </w:t>
      </w:r>
      <w:r w:rsidR="00955F1D" w:rsidRPr="00C170A8">
        <w:t>par son agent</w:t>
      </w:r>
      <w:r w:rsidR="000C59D0">
        <w:t>e</w:t>
      </w:r>
      <w:r w:rsidR="00955F1D" w:rsidRPr="00C170A8">
        <w:t xml:space="preserve">, </w:t>
      </w:r>
      <w:r w:rsidR="00955F1D">
        <w:t>M</w:t>
      </w:r>
      <w:r w:rsidR="00955F1D" w:rsidRPr="0029048A">
        <w:rPr>
          <w:vertAlign w:val="superscript"/>
        </w:rPr>
        <w:t>me</w:t>
      </w:r>
      <w:r w:rsidR="00C614EE">
        <w:t xml:space="preserve"> </w:t>
      </w:r>
      <w:r w:rsidR="00955F1D">
        <w:t>E. Spatafora</w:t>
      </w:r>
      <w:r w:rsidR="00955F1D" w:rsidRPr="00C170A8">
        <w:t>.</w:t>
      </w:r>
    </w:p>
    <w:p w:rsidR="00110305" w:rsidRDefault="00110305" w:rsidP="00110305">
      <w:pPr>
        <w:pStyle w:val="JuPara"/>
      </w:pPr>
      <w:r w:rsidRPr="00110305">
        <w:fldChar w:fldCharType="begin"/>
      </w:r>
      <w:r w:rsidRPr="00110305">
        <w:instrText xml:space="preserve"> SEQ level0 \*arabic </w:instrText>
      </w:r>
      <w:r w:rsidRPr="00110305">
        <w:fldChar w:fldCharType="separate"/>
      </w:r>
      <w:r w:rsidR="00152465">
        <w:rPr>
          <w:noProof/>
        </w:rPr>
        <w:t>3</w:t>
      </w:r>
      <w:r w:rsidRPr="00110305">
        <w:fldChar w:fldCharType="end"/>
      </w:r>
      <w:r w:rsidRPr="00110305">
        <w:t xml:space="preserve">.  Les requérants </w:t>
      </w:r>
      <w:r>
        <w:t xml:space="preserve">se </w:t>
      </w:r>
      <w:r w:rsidRPr="00287721">
        <w:t xml:space="preserve">plaignent </w:t>
      </w:r>
      <w:r>
        <w:t xml:space="preserve">du refus des autorités italiennes de faire droit à leur demande </w:t>
      </w:r>
      <w:r w:rsidR="008B1F99">
        <w:t xml:space="preserve">tendant à ce que leur fille se voie attribuer </w:t>
      </w:r>
      <w:r>
        <w:t>le nom de famille de sa mère</w:t>
      </w:r>
      <w:r w:rsidRPr="00110305">
        <w:t>.</w:t>
      </w:r>
    </w:p>
    <w:p w:rsidR="00C27BF2" w:rsidRPr="00110305" w:rsidRDefault="00110305" w:rsidP="00110305">
      <w:pPr>
        <w:pStyle w:val="JuPara"/>
        <w:rPr>
          <w:szCs w:val="24"/>
          <w:lang w:eastAsia="en-GB"/>
        </w:rPr>
      </w:pPr>
      <w:r w:rsidRPr="00110305">
        <w:fldChar w:fldCharType="begin"/>
      </w:r>
      <w:r w:rsidRPr="00110305">
        <w:instrText xml:space="preserve"> SEQ level0 \*arabic </w:instrText>
      </w:r>
      <w:r w:rsidRPr="00110305">
        <w:fldChar w:fldCharType="separate"/>
      </w:r>
      <w:r w:rsidR="00152465">
        <w:rPr>
          <w:noProof/>
        </w:rPr>
        <w:t>4</w:t>
      </w:r>
      <w:r w:rsidRPr="00110305">
        <w:fldChar w:fldCharType="end"/>
      </w:r>
      <w:r w:rsidR="00FC739E" w:rsidRPr="00110305">
        <w:t xml:space="preserve">.  Le </w:t>
      </w:r>
      <w:r w:rsidRPr="00110305">
        <w:t>7 février 2013</w:t>
      </w:r>
      <w:r w:rsidR="00FC739E" w:rsidRPr="00110305">
        <w:t xml:space="preserve">, </w:t>
      </w:r>
      <w:r w:rsidRPr="00110305">
        <w:t>la requête a</w:t>
      </w:r>
      <w:r w:rsidR="00FC739E" w:rsidRPr="00110305">
        <w:t xml:space="preserve"> été </w:t>
      </w:r>
      <w:r w:rsidRPr="00110305">
        <w:t>communiquée</w:t>
      </w:r>
      <w:r w:rsidR="00FC739E" w:rsidRPr="00110305">
        <w:t xml:space="preserve"> au Gouvernement.</w:t>
      </w:r>
      <w:r w:rsidRPr="00110305">
        <w:t xml:space="preserve"> Comme le permet l</w:t>
      </w:r>
      <w:r w:rsidR="00785BC1">
        <w:t>’</w:t>
      </w:r>
      <w:r w:rsidRPr="00110305">
        <w:t xml:space="preserve">article 29 § 1 de la Convention, il a en outre été décidé </w:t>
      </w:r>
      <w:r w:rsidRPr="00110305">
        <w:rPr>
          <w:b/>
        </w:rPr>
        <w:t>que</w:t>
      </w:r>
      <w:r w:rsidRPr="00110305">
        <w:t xml:space="preserve"> la chambre se prononcerait en même temps sur la recevabilité et</w:t>
      </w:r>
      <w:r w:rsidR="000C59D0">
        <w:t xml:space="preserve"> sur</w:t>
      </w:r>
      <w:r w:rsidRPr="00110305">
        <w:t xml:space="preserve"> le fond.</w:t>
      </w:r>
    </w:p>
    <w:p w:rsidR="00EC6427" w:rsidRPr="00110305" w:rsidRDefault="00EC6427" w:rsidP="00B33C50">
      <w:pPr>
        <w:pStyle w:val="JuHHead"/>
        <w:tabs>
          <w:tab w:val="left" w:pos="5387"/>
        </w:tabs>
      </w:pPr>
      <w:r w:rsidRPr="00110305">
        <w:t>EN FAIT</w:t>
      </w:r>
    </w:p>
    <w:p w:rsidR="00D31210" w:rsidRPr="00110305" w:rsidRDefault="0000732D" w:rsidP="00B33C50">
      <w:pPr>
        <w:pStyle w:val="JuHIRoman"/>
        <w:outlineLvl w:val="0"/>
      </w:pPr>
      <w:r w:rsidRPr="00110305">
        <w:t>I.  LES CIRCONSTANCES DE L</w:t>
      </w:r>
      <w:r w:rsidR="00785BC1">
        <w:t>’</w:t>
      </w:r>
      <w:r w:rsidRPr="00110305">
        <w:t>ESPÈC</w:t>
      </w:r>
      <w:r w:rsidR="00D31210" w:rsidRPr="00110305">
        <w:t>E</w:t>
      </w:r>
    </w:p>
    <w:p w:rsidR="00EC6427" w:rsidRPr="00110305" w:rsidRDefault="00110305" w:rsidP="007E34C8">
      <w:pPr>
        <w:pStyle w:val="JuPara"/>
      </w:pPr>
      <w:r w:rsidRPr="00110305">
        <w:fldChar w:fldCharType="begin"/>
      </w:r>
      <w:r w:rsidRPr="00110305">
        <w:instrText xml:space="preserve"> SEQ level0 \*arabic </w:instrText>
      </w:r>
      <w:r w:rsidRPr="00110305">
        <w:fldChar w:fldCharType="separate"/>
      </w:r>
      <w:r w:rsidR="00152465">
        <w:rPr>
          <w:noProof/>
        </w:rPr>
        <w:t>5</w:t>
      </w:r>
      <w:r w:rsidRPr="00110305">
        <w:fldChar w:fldCharType="end"/>
      </w:r>
      <w:r w:rsidR="00EC6427" w:rsidRPr="00110305">
        <w:t>.  </w:t>
      </w:r>
      <w:r w:rsidRPr="00110305">
        <w:t xml:space="preserve">Les requérants sont nés respectivement en 1964 et </w:t>
      </w:r>
      <w:r w:rsidR="000C59D0">
        <w:t xml:space="preserve">en </w:t>
      </w:r>
      <w:r w:rsidRPr="00287721">
        <w:t>1958</w:t>
      </w:r>
      <w:r w:rsidRPr="00110305">
        <w:t xml:space="preserve"> et résident à Milan</w:t>
      </w:r>
      <w:r w:rsidR="000F08D4" w:rsidRPr="00110305">
        <w:t>.</w:t>
      </w:r>
    </w:p>
    <w:p w:rsidR="002D70E0" w:rsidRDefault="00110305" w:rsidP="00110305">
      <w:pPr>
        <w:pStyle w:val="JuPara"/>
      </w:pPr>
      <w:r w:rsidRPr="00110305">
        <w:fldChar w:fldCharType="begin"/>
      </w:r>
      <w:r w:rsidRPr="00110305">
        <w:instrText xml:space="preserve"> SEQ level0 \*arabic </w:instrText>
      </w:r>
      <w:r w:rsidRPr="00110305">
        <w:fldChar w:fldCharType="separate"/>
      </w:r>
      <w:r w:rsidR="00152465">
        <w:rPr>
          <w:noProof/>
        </w:rPr>
        <w:t>6</w:t>
      </w:r>
      <w:r w:rsidRPr="00110305">
        <w:fldChar w:fldCharType="end"/>
      </w:r>
      <w:r w:rsidR="00EC6427" w:rsidRPr="00110305">
        <w:t>.  </w:t>
      </w:r>
      <w:r>
        <w:t xml:space="preserve">Les requérants sont un couple marié. </w:t>
      </w:r>
      <w:r w:rsidR="00B70375">
        <w:t>Le 26 avril 1999 naquit leur premier enfant, une fille</w:t>
      </w:r>
      <w:r w:rsidR="005F3CD4">
        <w:t>,</w:t>
      </w:r>
      <w:r w:rsidR="00B70375">
        <w:t xml:space="preserve"> </w:t>
      </w:r>
      <w:r>
        <w:t>Maddalena.</w:t>
      </w:r>
    </w:p>
    <w:p w:rsidR="00110305" w:rsidRDefault="00110305" w:rsidP="00110305">
      <w:pPr>
        <w:pStyle w:val="JuPara"/>
      </w:pPr>
      <w:r>
        <w:fldChar w:fldCharType="begin"/>
      </w:r>
      <w:r>
        <w:instrText xml:space="preserve"> SEQ level0 \*arabic </w:instrText>
      </w:r>
      <w:r>
        <w:fldChar w:fldCharType="separate"/>
      </w:r>
      <w:r w:rsidR="00152465">
        <w:rPr>
          <w:noProof/>
        </w:rPr>
        <w:t>7</w:t>
      </w:r>
      <w:r>
        <w:fldChar w:fldCharType="end"/>
      </w:r>
      <w:r>
        <w:t>.  Le requérant présenta à l</w:t>
      </w:r>
      <w:r w:rsidR="00785BC1">
        <w:t>’</w:t>
      </w:r>
      <w:r>
        <w:t>officier d</w:t>
      </w:r>
      <w:r w:rsidR="00785BC1">
        <w:t>’</w:t>
      </w:r>
      <w:r>
        <w:t xml:space="preserve">état civil une demande </w:t>
      </w:r>
      <w:r w:rsidR="000C59D0">
        <w:t xml:space="preserve">tendant </w:t>
      </w:r>
      <w:r>
        <w:t xml:space="preserve">à </w:t>
      </w:r>
      <w:r w:rsidR="000C59D0">
        <w:t xml:space="preserve">ce que sa </w:t>
      </w:r>
      <w:r>
        <w:t xml:space="preserve">fille </w:t>
      </w:r>
      <w:r w:rsidR="000C59D0">
        <w:t xml:space="preserve">soit inscrite </w:t>
      </w:r>
      <w:r>
        <w:t>dans les registres d</w:t>
      </w:r>
      <w:r w:rsidR="00785BC1">
        <w:t>’</w:t>
      </w:r>
      <w:r>
        <w:t xml:space="preserve">état civil avec </w:t>
      </w:r>
      <w:r w:rsidR="000C59D0">
        <w:t xml:space="preserve">comme </w:t>
      </w:r>
      <w:r>
        <w:t xml:space="preserve">nom de famille </w:t>
      </w:r>
      <w:r w:rsidR="000C59D0">
        <w:t xml:space="preserve">celui </w:t>
      </w:r>
      <w:r>
        <w:t>de sa mère (Cusan). Cette demande fut rejetée et Maddalena fut inscrite avec le nom de son père (Fazzo).</w:t>
      </w:r>
    </w:p>
    <w:p w:rsidR="002D70E0" w:rsidRDefault="00110305" w:rsidP="00110305">
      <w:pPr>
        <w:pStyle w:val="JuPara"/>
      </w:pPr>
      <w:r>
        <w:fldChar w:fldCharType="begin"/>
      </w:r>
      <w:r>
        <w:instrText xml:space="preserve"> SEQ level0 \*arabic </w:instrText>
      </w:r>
      <w:r>
        <w:fldChar w:fldCharType="separate"/>
      </w:r>
      <w:r w:rsidR="00152465">
        <w:rPr>
          <w:noProof/>
        </w:rPr>
        <w:t>8</w:t>
      </w:r>
      <w:r>
        <w:fldChar w:fldCharType="end"/>
      </w:r>
      <w:r>
        <w:t xml:space="preserve">.  En juin 2000, les requérants introduisirent devant le tribunal de Milan un recours contre cette décision. Ils </w:t>
      </w:r>
      <w:r w:rsidR="000B785B">
        <w:t xml:space="preserve">faisaient valoir </w:t>
      </w:r>
      <w:r>
        <w:t>qu</w:t>
      </w:r>
      <w:r w:rsidR="00785BC1">
        <w:t>’</w:t>
      </w:r>
      <w:r>
        <w:t>ils s</w:t>
      </w:r>
      <w:r w:rsidR="00785BC1">
        <w:t>’</w:t>
      </w:r>
      <w:r>
        <w:t>accordaient à vouloir inscrire Maddalena avec le nom de sa mère et qu</w:t>
      </w:r>
      <w:r w:rsidR="00785BC1">
        <w:t>’</w:t>
      </w:r>
      <w:r>
        <w:t>aucune disposition d</w:t>
      </w:r>
      <w:r w:rsidR="000C59D0">
        <w:t>u</w:t>
      </w:r>
      <w:r>
        <w:t xml:space="preserve"> droit italien ne s</w:t>
      </w:r>
      <w:r w:rsidR="00785BC1">
        <w:t>’</w:t>
      </w:r>
      <w:r>
        <w:t>y opposait.</w:t>
      </w:r>
    </w:p>
    <w:p w:rsidR="00110305" w:rsidRDefault="00110305" w:rsidP="00110305">
      <w:pPr>
        <w:pStyle w:val="JuPara"/>
      </w:pPr>
      <w:r>
        <w:fldChar w:fldCharType="begin"/>
      </w:r>
      <w:r>
        <w:instrText xml:space="preserve"> SEQ level0 \*arabic </w:instrText>
      </w:r>
      <w:r>
        <w:fldChar w:fldCharType="separate"/>
      </w:r>
      <w:r w:rsidR="00152465">
        <w:rPr>
          <w:noProof/>
        </w:rPr>
        <w:t>9</w:t>
      </w:r>
      <w:r>
        <w:fldChar w:fldCharType="end"/>
      </w:r>
      <w:r>
        <w:t>.  Par un jugement du 6 juin 2001, dont le texte fut déposé au greffe le 8 juin 2001, le tribunal de Milan rejeta le recours des requérants.</w:t>
      </w:r>
    </w:p>
    <w:p w:rsidR="00647E9B" w:rsidRDefault="00110305" w:rsidP="00110305">
      <w:pPr>
        <w:pStyle w:val="JuPara"/>
      </w:pPr>
      <w:r>
        <w:fldChar w:fldCharType="begin"/>
      </w:r>
      <w:r>
        <w:instrText xml:space="preserve"> SEQ level0 \*arabic </w:instrText>
      </w:r>
      <w:r>
        <w:fldChar w:fldCharType="separate"/>
      </w:r>
      <w:r w:rsidR="00152465">
        <w:rPr>
          <w:noProof/>
        </w:rPr>
        <w:t>10</w:t>
      </w:r>
      <w:r>
        <w:fldChar w:fldCharType="end"/>
      </w:r>
      <w:r>
        <w:t>.  </w:t>
      </w:r>
      <w:r w:rsidR="00711FA7">
        <w:t>Dans ses motifs, le</w:t>
      </w:r>
      <w:r w:rsidR="00226907">
        <w:t xml:space="preserve"> tribunal </w:t>
      </w:r>
      <w:r>
        <w:t>observa que même si aucune disposition légale n</w:t>
      </w:r>
      <w:r w:rsidR="00785BC1">
        <w:t>’</w:t>
      </w:r>
      <w:r>
        <w:t>imposait d</w:t>
      </w:r>
      <w:r w:rsidR="00785BC1">
        <w:t>’</w:t>
      </w:r>
      <w:r>
        <w:t>inscrire un enfant né d</w:t>
      </w:r>
      <w:r w:rsidR="00785BC1">
        <w:t>’</w:t>
      </w:r>
      <w:r>
        <w:t>un couple marié avec le nom de son père, cette règle correspondait à un principe bien enraciné dans la conscience sociale et dans l</w:t>
      </w:r>
      <w:r w:rsidR="00785BC1">
        <w:t>’</w:t>
      </w:r>
      <w:r>
        <w:t xml:space="preserve">histoire italienne. </w:t>
      </w:r>
      <w:r w:rsidR="00226907">
        <w:t>Le tribunal estima p</w:t>
      </w:r>
      <w:r>
        <w:t>ar ailleurs</w:t>
      </w:r>
      <w:r w:rsidR="00226907">
        <w:t xml:space="preserve"> superflue </w:t>
      </w:r>
      <w:r w:rsidR="001135F6">
        <w:t>la question de l</w:t>
      </w:r>
      <w:r w:rsidR="00785BC1">
        <w:t>’</w:t>
      </w:r>
      <w:r w:rsidR="001135F6">
        <w:t>existence ou non d</w:t>
      </w:r>
      <w:r w:rsidR="00785BC1">
        <w:t>’</w:t>
      </w:r>
      <w:r w:rsidR="001135F6">
        <w:t xml:space="preserve">une </w:t>
      </w:r>
      <w:r>
        <w:t xml:space="preserve">disposition légale </w:t>
      </w:r>
      <w:r w:rsidR="001135F6">
        <w:t>explicite</w:t>
      </w:r>
      <w:r w:rsidR="00226907">
        <w:t xml:space="preserve">. Il releva en effet que </w:t>
      </w:r>
      <w:r>
        <w:t>selon l</w:t>
      </w:r>
      <w:r w:rsidR="00785BC1">
        <w:t>’</w:t>
      </w:r>
      <w:r>
        <w:t>ancien article 144 du code civil</w:t>
      </w:r>
      <w:r w:rsidR="00864DF9">
        <w:t xml:space="preserve"> (« le CC »)</w:t>
      </w:r>
      <w:r w:rsidR="000C59D0">
        <w:t>,</w:t>
      </w:r>
      <w:r>
        <w:t xml:space="preserve"> toute femme mariée adoptait le nom du mari, et</w:t>
      </w:r>
      <w:r w:rsidR="000B785B">
        <w:t xml:space="preserve"> estima que </w:t>
      </w:r>
      <w:r>
        <w:t xml:space="preserve">les enfants ne pouvaient être inscrits </w:t>
      </w:r>
      <w:r w:rsidR="000B785B">
        <w:t>qu</w:t>
      </w:r>
      <w:r w:rsidR="00785BC1">
        <w:t>’</w:t>
      </w:r>
      <w:r>
        <w:t>avec ce nom</w:t>
      </w:r>
      <w:r w:rsidR="000B785B">
        <w:t> ; ce nom était en effet</w:t>
      </w:r>
      <w:r w:rsidR="002D70E0">
        <w:t xml:space="preserve"> </w:t>
      </w:r>
      <w:r>
        <w:t>commun aux époux</w:t>
      </w:r>
      <w:r w:rsidR="002D6E87">
        <w:t xml:space="preserve">, </w:t>
      </w:r>
      <w:r w:rsidR="000B785B">
        <w:t>même si</w:t>
      </w:r>
      <w:r w:rsidR="00226907">
        <w:t>, p</w:t>
      </w:r>
      <w:r>
        <w:t>ar la suite, l</w:t>
      </w:r>
      <w:r w:rsidR="00785BC1">
        <w:t>’</w:t>
      </w:r>
      <w:r>
        <w:t>article 143</w:t>
      </w:r>
      <w:r w:rsidR="00226907">
        <w:t xml:space="preserve"> </w:t>
      </w:r>
      <w:r>
        <w:rPr>
          <w:i/>
        </w:rPr>
        <w:t xml:space="preserve">bis </w:t>
      </w:r>
      <w:r>
        <w:t xml:space="preserve">du CC avait prévu que le nom du mari </w:t>
      </w:r>
      <w:r w:rsidR="000B785B">
        <w:t xml:space="preserve">puisse être seulement ajouté </w:t>
      </w:r>
      <w:r>
        <w:t xml:space="preserve">à </w:t>
      </w:r>
      <w:r w:rsidR="000B785B">
        <w:t xml:space="preserve">la suite de </w:t>
      </w:r>
      <w:r>
        <w:t>celui de sa femme.</w:t>
      </w:r>
    </w:p>
    <w:p w:rsidR="00110305" w:rsidRDefault="00110305" w:rsidP="00110305">
      <w:pPr>
        <w:pStyle w:val="JuPara"/>
      </w:pPr>
      <w:r>
        <w:fldChar w:fldCharType="begin"/>
      </w:r>
      <w:r>
        <w:instrText xml:space="preserve"> SEQ level0 \*arabic </w:instrText>
      </w:r>
      <w:r>
        <w:fldChar w:fldCharType="separate"/>
      </w:r>
      <w:r w:rsidR="00152465">
        <w:rPr>
          <w:noProof/>
        </w:rPr>
        <w:t>11</w:t>
      </w:r>
      <w:r>
        <w:fldChar w:fldCharType="end"/>
      </w:r>
      <w:r>
        <w:t>.  Les requérants interjetèrent appel.</w:t>
      </w:r>
    </w:p>
    <w:p w:rsidR="00110305" w:rsidRDefault="00110305" w:rsidP="00110305">
      <w:pPr>
        <w:pStyle w:val="JuPara"/>
      </w:pPr>
      <w:r>
        <w:fldChar w:fldCharType="begin"/>
      </w:r>
      <w:r>
        <w:instrText xml:space="preserve"> SEQ level0 \*arabic </w:instrText>
      </w:r>
      <w:r>
        <w:fldChar w:fldCharType="separate"/>
      </w:r>
      <w:r w:rsidR="00152465">
        <w:rPr>
          <w:noProof/>
        </w:rPr>
        <w:t>12</w:t>
      </w:r>
      <w:r>
        <w:fldChar w:fldCharType="end"/>
      </w:r>
      <w:r>
        <w:t>.  Par un arrêt du 24 mai 2002, dont le texte fut déposé au greffe le 4 juin 2002, la cour d</w:t>
      </w:r>
      <w:r w:rsidR="00785BC1">
        <w:t>’</w:t>
      </w:r>
      <w:r>
        <w:t>appel de Milan confirma le jugement de première instance.</w:t>
      </w:r>
    </w:p>
    <w:p w:rsidR="00110305" w:rsidRDefault="00110305" w:rsidP="00110305">
      <w:pPr>
        <w:pStyle w:val="JuPara"/>
      </w:pPr>
      <w:r>
        <w:fldChar w:fldCharType="begin"/>
      </w:r>
      <w:r>
        <w:instrText xml:space="preserve"> SEQ level0 \*arabic </w:instrText>
      </w:r>
      <w:r>
        <w:fldChar w:fldCharType="separate"/>
      </w:r>
      <w:r w:rsidR="00152465">
        <w:rPr>
          <w:noProof/>
        </w:rPr>
        <w:t>13</w:t>
      </w:r>
      <w:r>
        <w:fldChar w:fldCharType="end"/>
      </w:r>
      <w:r>
        <w:t>.  </w:t>
      </w:r>
      <w:r w:rsidR="00711FA7">
        <w:t>Dans ses motifs, la</w:t>
      </w:r>
      <w:r w:rsidR="00226907">
        <w:t xml:space="preserve"> cour d</w:t>
      </w:r>
      <w:r w:rsidR="00785BC1">
        <w:t>’</w:t>
      </w:r>
      <w:r w:rsidR="00226907">
        <w:t xml:space="preserve">appel </w:t>
      </w:r>
      <w:r>
        <w:t>observa que la Cour constitutionnelle avait affirmé à plusieurs reprises (ordonnances n</w:t>
      </w:r>
      <w:r w:rsidRPr="00EA5655">
        <w:rPr>
          <w:vertAlign w:val="superscript"/>
        </w:rPr>
        <w:t>os</w:t>
      </w:r>
      <w:r>
        <w:t xml:space="preserve"> 176 du 28 janvier 1988 et 586 du 11 mai 1988) que la non-prévision de la possibilité, pour la mère, de transmettre son nom de famille aux </w:t>
      </w:r>
      <w:r w:rsidR="006D51FF" w:rsidRPr="00110305">
        <w:t>« </w:t>
      </w:r>
      <w:r>
        <w:t>enfants légitimes</w:t>
      </w:r>
      <w:r w:rsidR="006D51FF" w:rsidRPr="00110305">
        <w:t> »</w:t>
      </w:r>
      <w:r>
        <w:t xml:space="preserve"> ne violait ni l</w:t>
      </w:r>
      <w:r w:rsidR="00785BC1">
        <w:t>’</w:t>
      </w:r>
      <w:r>
        <w:t>article 29 (fondation du mariage sur l</w:t>
      </w:r>
      <w:r w:rsidR="00785BC1">
        <w:t>’</w:t>
      </w:r>
      <w:r>
        <w:t>égalité morale et juridique des époux) ni l</w:t>
      </w:r>
      <w:r w:rsidR="00785BC1">
        <w:t>’</w:t>
      </w:r>
      <w:r>
        <w:t xml:space="preserve">article 3 (égalité des citoyens devant la loi) de la Constitution. </w:t>
      </w:r>
      <w:r w:rsidR="00711FA7">
        <w:t xml:space="preserve">Elle nota que la </w:t>
      </w:r>
      <w:r>
        <w:t>Cour constitutionnelle avait indiqué qu</w:t>
      </w:r>
      <w:r w:rsidR="00785BC1">
        <w:t>’</w:t>
      </w:r>
      <w:r>
        <w:t>il appartenait au législateur de décider de l</w:t>
      </w:r>
      <w:r w:rsidR="00785BC1">
        <w:t>’</w:t>
      </w:r>
      <w:r>
        <w:t>opportunité d</w:t>
      </w:r>
      <w:r w:rsidR="00785BC1">
        <w:t>’</w:t>
      </w:r>
      <w:r>
        <w:t>introduire un système différent d</w:t>
      </w:r>
      <w:r w:rsidR="00785BC1">
        <w:t>’</w:t>
      </w:r>
      <w:r>
        <w:t>attribution du nom de famille</w:t>
      </w:r>
      <w:r w:rsidR="00711FA7">
        <w:t>, et qu</w:t>
      </w:r>
      <w:r w:rsidR="00785BC1">
        <w:t>’</w:t>
      </w:r>
      <w:r w:rsidR="00711FA7">
        <w:t xml:space="preserve">au </w:t>
      </w:r>
      <w:r>
        <w:t xml:space="preserve">moins six projets </w:t>
      </w:r>
      <w:r w:rsidR="001135F6">
        <w:t xml:space="preserve">ou propositions </w:t>
      </w:r>
      <w:r>
        <w:t>de loi étaient pendants devant le Parlement</w:t>
      </w:r>
      <w:r w:rsidR="00711FA7">
        <w:t>. Cela</w:t>
      </w:r>
      <w:r>
        <w:t xml:space="preserve"> démontrait </w:t>
      </w:r>
      <w:r w:rsidR="00711FA7">
        <w:t xml:space="preserve">à ses yeux </w:t>
      </w:r>
      <w:r>
        <w:t>que la règle non écrite d</w:t>
      </w:r>
      <w:r w:rsidR="00785BC1">
        <w:t>’</w:t>
      </w:r>
      <w:r>
        <w:t>attribution du nom était encore en vigueur</w:t>
      </w:r>
      <w:r w:rsidR="003A0819">
        <w:t xml:space="preserve"> ; </w:t>
      </w:r>
      <w:r w:rsidR="00711FA7">
        <w:t>l</w:t>
      </w:r>
      <w:r>
        <w:t>a jurisprudence n</w:t>
      </w:r>
      <w:r w:rsidR="00785BC1">
        <w:t>’</w:t>
      </w:r>
      <w:r>
        <w:t>en avait par ailleurs pas mis en doute l</w:t>
      </w:r>
      <w:r w:rsidR="00785BC1">
        <w:t>’</w:t>
      </w:r>
      <w:r>
        <w:t>existence.</w:t>
      </w:r>
    </w:p>
    <w:p w:rsidR="002D70E0" w:rsidRDefault="00110305" w:rsidP="00110305">
      <w:pPr>
        <w:pStyle w:val="JuPara"/>
      </w:pPr>
      <w:r>
        <w:fldChar w:fldCharType="begin"/>
      </w:r>
      <w:r>
        <w:instrText xml:space="preserve"> SEQ level0 \*arabic </w:instrText>
      </w:r>
      <w:r>
        <w:fldChar w:fldCharType="separate"/>
      </w:r>
      <w:r w:rsidR="00152465">
        <w:rPr>
          <w:noProof/>
        </w:rPr>
        <w:t>14</w:t>
      </w:r>
      <w:r>
        <w:fldChar w:fldCharType="end"/>
      </w:r>
      <w:r>
        <w:t>.  </w:t>
      </w:r>
      <w:r w:rsidR="00711FA7">
        <w:t>Pour la cour d</w:t>
      </w:r>
      <w:r w:rsidR="00785BC1">
        <w:t>’</w:t>
      </w:r>
      <w:r w:rsidR="00711FA7">
        <w:t xml:space="preserve">appel, la </w:t>
      </w:r>
      <w:r>
        <w:t xml:space="preserve">non-application de cette règle aurait entraîné des conséquences pour les enfants auxquels serait attribué le nom de la mère, </w:t>
      </w:r>
      <w:r w:rsidR="00EE3B2D">
        <w:t>en ce qu</w:t>
      </w:r>
      <w:r w:rsidR="00785BC1">
        <w:t>’</w:t>
      </w:r>
      <w:r w:rsidR="00EE3B2D">
        <w:t xml:space="preserve">ils </w:t>
      </w:r>
      <w:r>
        <w:t xml:space="preserve">auraient pu être </w:t>
      </w:r>
      <w:r w:rsidR="00864DF9">
        <w:t xml:space="preserve">pris pour des </w:t>
      </w:r>
      <w:r w:rsidR="007D06BD">
        <w:t>« </w:t>
      </w:r>
      <w:r w:rsidR="00864DF9">
        <w:t xml:space="preserve">enfants </w:t>
      </w:r>
      <w:r w:rsidR="00DD6BFB">
        <w:t>n</w:t>
      </w:r>
      <w:r>
        <w:t xml:space="preserve">on </w:t>
      </w:r>
      <w:r w:rsidR="006D51FF">
        <w:t>légitimes</w:t>
      </w:r>
      <w:r w:rsidR="006D51FF" w:rsidRPr="00110305">
        <w:t> »</w:t>
      </w:r>
      <w:r>
        <w:t>.</w:t>
      </w:r>
    </w:p>
    <w:p w:rsidR="00110305" w:rsidRDefault="00110305" w:rsidP="00110305">
      <w:pPr>
        <w:pStyle w:val="JuPara"/>
      </w:pPr>
      <w:r>
        <w:fldChar w:fldCharType="begin"/>
      </w:r>
      <w:r>
        <w:instrText xml:space="preserve"> SEQ level0 \*arabic </w:instrText>
      </w:r>
      <w:r>
        <w:fldChar w:fldCharType="separate"/>
      </w:r>
      <w:r w:rsidR="00152465">
        <w:rPr>
          <w:noProof/>
        </w:rPr>
        <w:t>15</w:t>
      </w:r>
      <w:r>
        <w:fldChar w:fldCharType="end"/>
      </w:r>
      <w:r>
        <w:t>.  Les requérants se pourvurent en cassation.</w:t>
      </w:r>
    </w:p>
    <w:p w:rsidR="002D70E0" w:rsidRDefault="00110305" w:rsidP="00110305">
      <w:pPr>
        <w:pStyle w:val="JuPara"/>
      </w:pPr>
      <w:r>
        <w:fldChar w:fldCharType="begin"/>
      </w:r>
      <w:r>
        <w:instrText xml:space="preserve"> SEQ level0 \*arabic </w:instrText>
      </w:r>
      <w:r>
        <w:fldChar w:fldCharType="separate"/>
      </w:r>
      <w:r w:rsidR="00152465">
        <w:rPr>
          <w:noProof/>
        </w:rPr>
        <w:t>16</w:t>
      </w:r>
      <w:r>
        <w:fldChar w:fldCharType="end"/>
      </w:r>
      <w:r>
        <w:t xml:space="preserve">.  Par une ordonnance du 26 février 2004, dont le texte fut déposé au greffe le 17 juillet 2004, la Cour de cassation </w:t>
      </w:r>
      <w:r w:rsidR="00DA5B97">
        <w:t xml:space="preserve">estima que la question incidente de la constitutionnalité de la règle attribuant aux </w:t>
      </w:r>
      <w:r w:rsidR="006D51FF" w:rsidRPr="00110305">
        <w:t>« </w:t>
      </w:r>
      <w:r w:rsidR="006D51FF">
        <w:t>enfants légitimes</w:t>
      </w:r>
      <w:r w:rsidR="006D51FF" w:rsidRPr="00110305">
        <w:t> »</w:t>
      </w:r>
      <w:r w:rsidR="00DA5B97">
        <w:t xml:space="preserve"> le nom du père était pertinente et n</w:t>
      </w:r>
      <w:r w:rsidR="00785BC1">
        <w:t>’</w:t>
      </w:r>
      <w:r w:rsidR="00DA5B97">
        <w:t xml:space="preserve">était pas manifestement infondée ; en conséquence, elle </w:t>
      </w:r>
      <w:r>
        <w:t xml:space="preserve">suspendit la procédure et ordonna la transmission </w:t>
      </w:r>
      <w:r w:rsidR="003A0819">
        <w:t>du dossier</w:t>
      </w:r>
      <w:r>
        <w:t xml:space="preserve"> à la Cour constitutionnelle.</w:t>
      </w:r>
    </w:p>
    <w:p w:rsidR="002D70E0" w:rsidRDefault="00DA5B97" w:rsidP="00110305">
      <w:pPr>
        <w:pStyle w:val="JuPara"/>
      </w:pPr>
      <w:r>
        <w:t xml:space="preserve">Dans </w:t>
      </w:r>
      <w:r w:rsidR="00540954">
        <w:t>les</w:t>
      </w:r>
      <w:r>
        <w:t xml:space="preserve"> motifs</w:t>
      </w:r>
      <w:r w:rsidR="00540954">
        <w:t xml:space="preserve"> de l</w:t>
      </w:r>
      <w:r w:rsidR="00785BC1">
        <w:t>’</w:t>
      </w:r>
      <w:r w:rsidR="00540954">
        <w:t>ordonnance</w:t>
      </w:r>
      <w:r>
        <w:t xml:space="preserve">, la Cour de cassation précisa que la règle en cause </w:t>
      </w:r>
      <w:r w:rsidR="00110305">
        <w:t>n</w:t>
      </w:r>
      <w:r w:rsidR="00785BC1">
        <w:t>’</w:t>
      </w:r>
      <w:r w:rsidR="00110305">
        <w:t xml:space="preserve">était pas une </w:t>
      </w:r>
      <w:r w:rsidR="00864DF9">
        <w:t xml:space="preserve">règle </w:t>
      </w:r>
      <w:r w:rsidR="00110305">
        <w:t xml:space="preserve">de droit coutumier, mais </w:t>
      </w:r>
      <w:r w:rsidR="00E7002A">
        <w:t xml:space="preserve">se dégageait </w:t>
      </w:r>
      <w:r w:rsidR="00110305">
        <w:t>de l</w:t>
      </w:r>
      <w:r w:rsidR="00785BC1">
        <w:t>’</w:t>
      </w:r>
      <w:r w:rsidR="00110305">
        <w:t>interprétation de certains articles du CC.</w:t>
      </w:r>
    </w:p>
    <w:p w:rsidR="002D70E0" w:rsidRDefault="00110305" w:rsidP="00110305">
      <w:pPr>
        <w:pStyle w:val="JuPara"/>
      </w:pPr>
      <w:r>
        <w:fldChar w:fldCharType="begin"/>
      </w:r>
      <w:r>
        <w:instrText xml:space="preserve"> SEQ level0 \*arabic </w:instrText>
      </w:r>
      <w:r>
        <w:fldChar w:fldCharType="separate"/>
      </w:r>
      <w:r w:rsidR="00152465">
        <w:rPr>
          <w:noProof/>
        </w:rPr>
        <w:t>17</w:t>
      </w:r>
      <w:r>
        <w:fldChar w:fldCharType="end"/>
      </w:r>
      <w:r>
        <w:t xml:space="preserve">.  Par un arrêt </w:t>
      </w:r>
      <w:r w:rsidR="00E7002A">
        <w:t>(</w:t>
      </w:r>
      <w:r>
        <w:t>n</w:t>
      </w:r>
      <w:r w:rsidR="0010731F" w:rsidRPr="0010731F">
        <w:rPr>
          <w:vertAlign w:val="superscript"/>
        </w:rPr>
        <w:t>o</w:t>
      </w:r>
      <w:r>
        <w:t xml:space="preserve"> 6</w:t>
      </w:r>
      <w:r w:rsidR="00E7002A">
        <w:t>)</w:t>
      </w:r>
      <w:r>
        <w:t xml:space="preserve"> du 16 février 2006, la Cour constitutionnelle déclara cette question </w:t>
      </w:r>
      <w:r w:rsidR="001E493A">
        <w:t xml:space="preserve">de constitutionnalité </w:t>
      </w:r>
      <w:r>
        <w:t>irrecevable.</w:t>
      </w:r>
    </w:p>
    <w:p w:rsidR="00110305" w:rsidRDefault="00CB284D" w:rsidP="00110305">
      <w:pPr>
        <w:pStyle w:val="JuPara"/>
      </w:pPr>
      <w:r>
        <w:t>Dans ses motifs</w:t>
      </w:r>
      <w:r w:rsidR="00864DF9">
        <w:t>,</w:t>
      </w:r>
      <w:r w:rsidR="00110305">
        <w:t xml:space="preserve"> </w:t>
      </w:r>
      <w:r>
        <w:t xml:space="preserve">la Cour constitutionnelle considéra que </w:t>
      </w:r>
      <w:r w:rsidR="00110305">
        <w:t xml:space="preserve">le système en vigueur </w:t>
      </w:r>
      <w:r w:rsidR="00864DF9">
        <w:t xml:space="preserve">résultait </w:t>
      </w:r>
      <w:r w:rsidR="00110305">
        <w:t>d</w:t>
      </w:r>
      <w:r w:rsidR="00785BC1">
        <w:t>’</w:t>
      </w:r>
      <w:r w:rsidR="00110305">
        <w:t>une conception patriarcale de la famille</w:t>
      </w:r>
      <w:r w:rsidR="00C11D99" w:rsidRPr="00C11D99">
        <w:t xml:space="preserve"> </w:t>
      </w:r>
      <w:r w:rsidR="00C11D99">
        <w:t>et des pouvoirs du mari</w:t>
      </w:r>
      <w:r w:rsidR="00110305">
        <w:t>, qui avait ses racines dans le droit romain</w:t>
      </w:r>
      <w:r w:rsidR="00C11D99">
        <w:t xml:space="preserve"> et</w:t>
      </w:r>
      <w:r w:rsidR="00110305">
        <w:t xml:space="preserve"> n</w:t>
      </w:r>
      <w:r w:rsidR="00785BC1">
        <w:t>’</w:t>
      </w:r>
      <w:r w:rsidR="00110305">
        <w:t>était plus compatible avec le principe constitutionnel de l</w:t>
      </w:r>
      <w:r w:rsidR="00785BC1">
        <w:t>’</w:t>
      </w:r>
      <w:r w:rsidR="00110305">
        <w:t xml:space="preserve">égalité entre homme et femme. </w:t>
      </w:r>
      <w:r>
        <w:t>Elle releva de plus que</w:t>
      </w:r>
      <w:r w:rsidR="00110305">
        <w:t xml:space="preserve"> l</w:t>
      </w:r>
      <w:r w:rsidR="00785BC1">
        <w:t>’</w:t>
      </w:r>
      <w:r w:rsidR="00110305">
        <w:t>article 16 § 1 g) de la Convention sur l</w:t>
      </w:r>
      <w:r w:rsidR="00785BC1">
        <w:t>’</w:t>
      </w:r>
      <w:r w:rsidR="00110305">
        <w:t>élimination de toute forme de discrimination envers la femme (ratifiée par</w:t>
      </w:r>
      <w:r w:rsidR="00C11D99">
        <w:t xml:space="preserve"> la loi n</w:t>
      </w:r>
      <w:r w:rsidR="0010731F" w:rsidRPr="0010731F">
        <w:rPr>
          <w:vertAlign w:val="superscript"/>
        </w:rPr>
        <w:t>o</w:t>
      </w:r>
      <w:r w:rsidR="00C11D99">
        <w:t xml:space="preserve"> 132 du 14 mars 1985)</w:t>
      </w:r>
      <w:r w:rsidR="00110305">
        <w:t xml:space="preserve"> engageait les </w:t>
      </w:r>
      <w:r w:rsidR="004457D8">
        <w:t>États</w:t>
      </w:r>
      <w:r w:rsidR="00110305">
        <w:t xml:space="preserve"> contractants à adopter toutes les mesures nécessaires pour éliminer la discrimination </w:t>
      </w:r>
      <w:r>
        <w:t>envers les femmes</w:t>
      </w:r>
      <w:r w:rsidR="00110305">
        <w:t xml:space="preserve"> </w:t>
      </w:r>
      <w:r w:rsidR="00864DF9">
        <w:t xml:space="preserve">à propos de </w:t>
      </w:r>
      <w:r w:rsidR="00110305">
        <w:t>toute question relative au mariage</w:t>
      </w:r>
      <w:r>
        <w:t xml:space="preserve"> ou</w:t>
      </w:r>
      <w:r w:rsidR="00110305">
        <w:t xml:space="preserve"> aux rapports familiaux et, en particulier, à assurer les mêmes droits au mari et à la femme, y compris dans le choix du nom.</w:t>
      </w:r>
    </w:p>
    <w:p w:rsidR="00110305" w:rsidRDefault="00110305" w:rsidP="00110305">
      <w:pPr>
        <w:pStyle w:val="JuPara"/>
      </w:pPr>
      <w:r>
        <w:fldChar w:fldCharType="begin"/>
      </w:r>
      <w:r>
        <w:instrText xml:space="preserve"> SEQ level0 \*arabic </w:instrText>
      </w:r>
      <w:r>
        <w:fldChar w:fldCharType="separate"/>
      </w:r>
      <w:r w:rsidR="00152465">
        <w:rPr>
          <w:noProof/>
        </w:rPr>
        <w:t>18</w:t>
      </w:r>
      <w:r>
        <w:fldChar w:fldCharType="end"/>
      </w:r>
      <w:r>
        <w:t>.  La Cour constitutionnelle se référa également aux recommandations n</w:t>
      </w:r>
      <w:r>
        <w:rPr>
          <w:vertAlign w:val="superscript"/>
        </w:rPr>
        <w:t>os </w:t>
      </w:r>
      <w:r>
        <w:t>1271 de 1995 et 1362 de 1998 du Conseil de l</w:t>
      </w:r>
      <w:r w:rsidR="00785BC1">
        <w:t>’</w:t>
      </w:r>
      <w:r>
        <w:t>Europe, ainsi qu</w:t>
      </w:r>
      <w:r w:rsidR="00785BC1">
        <w:t>’</w:t>
      </w:r>
      <w:r>
        <w:t>à la jurisprudence de la Cour (</w:t>
      </w:r>
      <w:r w:rsidR="00EE3B2D">
        <w:t>en l</w:t>
      </w:r>
      <w:r w:rsidR="00785BC1">
        <w:t>’</w:t>
      </w:r>
      <w:r w:rsidR="00EE3B2D">
        <w:t xml:space="preserve">occurrence </w:t>
      </w:r>
      <w:r w:rsidR="00C11D99">
        <w:rPr>
          <w:i/>
        </w:rPr>
        <w:t xml:space="preserve">Burghartz </w:t>
      </w:r>
      <w:r w:rsidR="00C11D99" w:rsidRPr="00417D37">
        <w:rPr>
          <w:i/>
        </w:rPr>
        <w:t>c. Suisse</w:t>
      </w:r>
      <w:r w:rsidR="00C11D99">
        <w:t xml:space="preserve">, </w:t>
      </w:r>
      <w:r w:rsidR="00C11D99" w:rsidRPr="00417D37">
        <w:t>22</w:t>
      </w:r>
      <w:r w:rsidR="004457D8">
        <w:t> </w:t>
      </w:r>
      <w:r w:rsidR="00C11D99">
        <w:t>février 1994, série A n</w:t>
      </w:r>
      <w:r w:rsidR="0010731F" w:rsidRPr="0010731F">
        <w:rPr>
          <w:vertAlign w:val="superscript"/>
        </w:rPr>
        <w:t>o</w:t>
      </w:r>
      <w:r w:rsidR="00C11D99">
        <w:t> 280-B</w:t>
      </w:r>
      <w:r>
        <w:t xml:space="preserve"> ; </w:t>
      </w:r>
      <w:r>
        <w:rPr>
          <w:i/>
        </w:rPr>
        <w:t>Stjerna c. Finlande</w:t>
      </w:r>
      <w:r>
        <w:t>, 25 novembre 1994, série</w:t>
      </w:r>
      <w:r w:rsidR="004457D8">
        <w:t> </w:t>
      </w:r>
      <w:r>
        <w:t>A n</w:t>
      </w:r>
      <w:r w:rsidR="0010731F" w:rsidRPr="0010731F">
        <w:rPr>
          <w:vertAlign w:val="superscript"/>
        </w:rPr>
        <w:t>o</w:t>
      </w:r>
      <w:r w:rsidR="004457D8">
        <w:t> </w:t>
      </w:r>
      <w:r>
        <w:t>299-B ; et</w:t>
      </w:r>
      <w:r w:rsidR="00C11D99">
        <w:t xml:space="preserve"> </w:t>
      </w:r>
      <w:r w:rsidR="00332AB1">
        <w:rPr>
          <w:i/>
        </w:rPr>
        <w:t xml:space="preserve">Ünal </w:t>
      </w:r>
      <w:r w:rsidR="00C11D99">
        <w:rPr>
          <w:i/>
        </w:rPr>
        <w:t>Tekeli c. Turquie</w:t>
      </w:r>
      <w:r w:rsidR="00C11D99">
        <w:t>, n</w:t>
      </w:r>
      <w:r w:rsidR="0010731F" w:rsidRPr="0010731F">
        <w:rPr>
          <w:vertAlign w:val="superscript"/>
        </w:rPr>
        <w:t>o</w:t>
      </w:r>
      <w:r w:rsidR="00C11D99">
        <w:t xml:space="preserve"> 29865/96, </w:t>
      </w:r>
      <w:r w:rsidR="00864DF9">
        <w:t>CEDH</w:t>
      </w:r>
      <w:r w:rsidR="00C11D99">
        <w:t xml:space="preserve"> 2004</w:t>
      </w:r>
      <w:r w:rsidR="00864DF9">
        <w:t>-X</w:t>
      </w:r>
      <w:r>
        <w:t>).</w:t>
      </w:r>
    </w:p>
    <w:p w:rsidR="002D70E0" w:rsidRDefault="00110305" w:rsidP="00110305">
      <w:pPr>
        <w:pStyle w:val="JuPara"/>
      </w:pPr>
      <w:r>
        <w:fldChar w:fldCharType="begin"/>
      </w:r>
      <w:r>
        <w:instrText xml:space="preserve"> SEQ level0 \*arabic </w:instrText>
      </w:r>
      <w:r>
        <w:fldChar w:fldCharType="separate"/>
      </w:r>
      <w:r w:rsidR="00152465">
        <w:rPr>
          <w:noProof/>
        </w:rPr>
        <w:t>19</w:t>
      </w:r>
      <w:r>
        <w:fldChar w:fldCharType="end"/>
      </w:r>
      <w:r>
        <w:t xml:space="preserve">.  Cependant, </w:t>
      </w:r>
      <w:r w:rsidR="00864DF9">
        <w:t>la Cour constitutionnelle ne s</w:t>
      </w:r>
      <w:r w:rsidR="00785BC1">
        <w:t>’</w:t>
      </w:r>
      <w:r w:rsidR="00864DF9">
        <w:t>estim</w:t>
      </w:r>
      <w:r w:rsidR="00226907">
        <w:t>a</w:t>
      </w:r>
      <w:r w:rsidR="00864DF9">
        <w:t xml:space="preserve"> pas compétente pour procéder à </w:t>
      </w:r>
      <w:r>
        <w:t>l</w:t>
      </w:r>
      <w:r w:rsidR="00785BC1">
        <w:t>’</w:t>
      </w:r>
      <w:r>
        <w:t>intervention souhaitée par la Cour de cassation</w:t>
      </w:r>
      <w:r w:rsidR="008A2BD2">
        <w:t>.</w:t>
      </w:r>
    </w:p>
    <w:p w:rsidR="00647E9B" w:rsidRDefault="00D0082A" w:rsidP="00110305">
      <w:pPr>
        <w:pStyle w:val="JuPara"/>
      </w:pPr>
      <w:r>
        <w:t>Elle releva</w:t>
      </w:r>
      <w:r w:rsidR="00226907">
        <w:t xml:space="preserve"> e</w:t>
      </w:r>
      <w:r w:rsidR="008A2BD2">
        <w:t>n effet</w:t>
      </w:r>
      <w:r>
        <w:t xml:space="preserve"> que</w:t>
      </w:r>
      <w:r w:rsidR="008A2BD2">
        <w:t xml:space="preserve"> toute </w:t>
      </w:r>
      <w:r w:rsidR="00110305">
        <w:t>une série d</w:t>
      </w:r>
      <w:r w:rsidR="00785BC1">
        <w:t>’</w:t>
      </w:r>
      <w:r w:rsidR="00110305">
        <w:t xml:space="preserve">options restaient ouvertes, à savoir : </w:t>
      </w:r>
      <w:r w:rsidR="00226907">
        <w:t>1</w:t>
      </w:r>
      <w:r w:rsidR="0010731F" w:rsidRPr="0010731F">
        <w:rPr>
          <w:vertAlign w:val="superscript"/>
        </w:rPr>
        <w:t>o</w:t>
      </w:r>
      <w:r w:rsidR="00226907">
        <w:t xml:space="preserve">) </w:t>
      </w:r>
      <w:r w:rsidR="00110305">
        <w:t>s</w:t>
      </w:r>
      <w:r w:rsidR="00785BC1">
        <w:t>’</w:t>
      </w:r>
      <w:r w:rsidR="00110305">
        <w:t xml:space="preserve">il fallait faire dépendre le choix du nom exclusivement de la volonté des époux ; </w:t>
      </w:r>
      <w:r w:rsidR="00226907">
        <w:t>2</w:t>
      </w:r>
      <w:r w:rsidR="0010731F" w:rsidRPr="0010731F">
        <w:rPr>
          <w:vertAlign w:val="superscript"/>
        </w:rPr>
        <w:t>o</w:t>
      </w:r>
      <w:r w:rsidR="00226907">
        <w:t xml:space="preserve">) </w:t>
      </w:r>
      <w:r w:rsidR="00110305">
        <w:t>s</w:t>
      </w:r>
      <w:r w:rsidR="00785BC1">
        <w:t>’</w:t>
      </w:r>
      <w:r w:rsidR="00110305">
        <w:t xml:space="preserve">il fallait permettre aux époux de déroger à la règle ; </w:t>
      </w:r>
      <w:r w:rsidR="00226907">
        <w:t>3</w:t>
      </w:r>
      <w:r w:rsidR="0010731F" w:rsidRPr="0010731F">
        <w:rPr>
          <w:vertAlign w:val="superscript"/>
        </w:rPr>
        <w:t>o</w:t>
      </w:r>
      <w:r w:rsidR="00226907">
        <w:t xml:space="preserve">) </w:t>
      </w:r>
      <w:r w:rsidR="00110305">
        <w:t xml:space="preserve">si le choix des époux devait avoir lieu une seule fois et valoir pour tous leurs enfants, ou bien si un choix individuel devait être exprimé pour chaque enfant. </w:t>
      </w:r>
      <w:r w:rsidR="00906A91">
        <w:t>Elle observa que</w:t>
      </w:r>
      <w:r>
        <w:t xml:space="preserve"> l</w:t>
      </w:r>
      <w:r w:rsidR="00110305">
        <w:t>es projets de loi (n</w:t>
      </w:r>
      <w:r w:rsidR="00110305" w:rsidRPr="00417D37">
        <w:rPr>
          <w:vertAlign w:val="superscript"/>
        </w:rPr>
        <w:t>os</w:t>
      </w:r>
      <w:r w:rsidR="00110305">
        <w:t xml:space="preserve"> 1739-S, 1454</w:t>
      </w:r>
      <w:r w:rsidR="004457D8">
        <w:noBreakHyphen/>
      </w:r>
      <w:r w:rsidR="00110305">
        <w:t>S et 3133-S) présentés au cours de la XIV</w:t>
      </w:r>
      <w:r w:rsidR="008A2BD2" w:rsidRPr="000F52D4">
        <w:rPr>
          <w:vertAlign w:val="superscript"/>
        </w:rPr>
        <w:t>e</w:t>
      </w:r>
      <w:r w:rsidR="00110305">
        <w:t xml:space="preserve"> législature témoignaient </w:t>
      </w:r>
      <w:r>
        <w:t xml:space="preserve">de la diversité des </w:t>
      </w:r>
      <w:r w:rsidR="00110305">
        <w:t>solutions pouvant être envisagées</w:t>
      </w:r>
      <w:r>
        <w:t xml:space="preserve">, et </w:t>
      </w:r>
      <w:r w:rsidR="00906A91">
        <w:t xml:space="preserve">estima que </w:t>
      </w:r>
      <w:r>
        <w:t>le</w:t>
      </w:r>
      <w:r w:rsidR="00110305">
        <w:t xml:space="preserve"> choix entre ces solutions ne pouvait être fait que par le législateur</w:t>
      </w:r>
      <w:r w:rsidR="00906A91">
        <w:t>. Elle retint également qu</w:t>
      </w:r>
      <w:r w:rsidR="00785BC1">
        <w:t>’</w:t>
      </w:r>
      <w:r>
        <w:t>un</w:t>
      </w:r>
      <w:r w:rsidR="00110305">
        <w:t>e déclaration d</w:t>
      </w:r>
      <w:r w:rsidR="00785BC1">
        <w:t>’</w:t>
      </w:r>
      <w:r w:rsidR="00110305">
        <w:t>inconstitutionnalité des dispositions internes pertinentes aurait créé un vide</w:t>
      </w:r>
      <w:r w:rsidR="008A2BD2">
        <w:t xml:space="preserve"> juridique</w:t>
      </w:r>
      <w:r w:rsidR="00110305">
        <w:t>.</w:t>
      </w:r>
    </w:p>
    <w:p w:rsidR="002D70E0" w:rsidRDefault="00110305" w:rsidP="00110305">
      <w:pPr>
        <w:pStyle w:val="JuPara"/>
      </w:pPr>
      <w:r>
        <w:fldChar w:fldCharType="begin"/>
      </w:r>
      <w:r>
        <w:instrText xml:space="preserve"> SEQ level0 \*arabic </w:instrText>
      </w:r>
      <w:r>
        <w:fldChar w:fldCharType="separate"/>
      </w:r>
      <w:r w:rsidR="00152465">
        <w:rPr>
          <w:noProof/>
        </w:rPr>
        <w:t>20</w:t>
      </w:r>
      <w:r>
        <w:fldChar w:fldCharType="end"/>
      </w:r>
      <w:r>
        <w:t>.  Par un arrêt du 29 mai 2006, dont le texte fut déposé au greffe le 16 juillet 2006, la Cour de cassation prit acte de la décision de la Cour constitutionnelle et débouta les requérants de leur pourvoi.</w:t>
      </w:r>
    </w:p>
    <w:p w:rsidR="00EC6427" w:rsidRDefault="00CB284D" w:rsidP="00110305">
      <w:pPr>
        <w:pStyle w:val="JuPara"/>
      </w:pPr>
      <w:r>
        <w:t>Dans ses motifs, e</w:t>
      </w:r>
      <w:r w:rsidR="00110305">
        <w:t>lle souligna que la règle dénoncée par les requérants était symptomatique d</w:t>
      </w:r>
      <w:r w:rsidR="00785BC1">
        <w:t>’</w:t>
      </w:r>
      <w:r w:rsidR="00110305">
        <w:t xml:space="preserve">une conception patriarcale de la famille et </w:t>
      </w:r>
      <w:r>
        <w:t xml:space="preserve">se conciliait difficilement </w:t>
      </w:r>
      <w:r w:rsidR="00110305">
        <w:t>avec les textes internationaux pertinents</w:t>
      </w:r>
      <w:r w:rsidR="00CA2544">
        <w:t>, mais estima que</w:t>
      </w:r>
      <w:r w:rsidR="00110305">
        <w:t xml:space="preserve"> </w:t>
      </w:r>
      <w:r>
        <w:t>le soin de mettre en place en la matière</w:t>
      </w:r>
      <w:r w:rsidR="00110305">
        <w:t xml:space="preserve"> </w:t>
      </w:r>
      <w:r>
        <w:t>un régime juridique</w:t>
      </w:r>
      <w:r w:rsidR="00110305">
        <w:t xml:space="preserve"> compatible avec la Constitution</w:t>
      </w:r>
      <w:r>
        <w:t xml:space="preserve"> </w:t>
      </w:r>
      <w:r w:rsidR="00CA2544">
        <w:t>devait revenir</w:t>
      </w:r>
      <w:r>
        <w:t xml:space="preserve"> au législateur</w:t>
      </w:r>
      <w:r w:rsidR="00110305">
        <w:t>.</w:t>
      </w:r>
    </w:p>
    <w:p w:rsidR="002D70E0" w:rsidRDefault="009D6748" w:rsidP="00110305">
      <w:pPr>
        <w:pStyle w:val="JuPara"/>
      </w:pPr>
      <w:r>
        <w:fldChar w:fldCharType="begin"/>
      </w:r>
      <w:r>
        <w:instrText xml:space="preserve"> SEQ level0 \*arabic </w:instrText>
      </w:r>
      <w:r>
        <w:fldChar w:fldCharType="separate"/>
      </w:r>
      <w:r w:rsidR="00152465">
        <w:rPr>
          <w:noProof/>
        </w:rPr>
        <w:t>21</w:t>
      </w:r>
      <w:r>
        <w:fldChar w:fldCharType="end"/>
      </w:r>
      <w:r>
        <w:t xml:space="preserve">.  Le </w:t>
      </w:r>
      <w:r w:rsidR="00DD0C29">
        <w:t>31 mars 2011, les requérant</w:t>
      </w:r>
      <w:r w:rsidR="00C11D99">
        <w:t>s demandèrent au ministre de l</w:t>
      </w:r>
      <w:r w:rsidR="00785BC1">
        <w:t>’</w:t>
      </w:r>
      <w:r w:rsidR="00C11D99">
        <w:t>I</w:t>
      </w:r>
      <w:r w:rsidR="00DD0C29">
        <w:t>ntérieur d</w:t>
      </w:r>
      <w:r w:rsidR="00785BC1">
        <w:t>’</w:t>
      </w:r>
      <w:r w:rsidR="00DD0C29">
        <w:t xml:space="preserve">être autorisés à </w:t>
      </w:r>
      <w:r w:rsidR="00EE3B2D">
        <w:t xml:space="preserve">faire compléter </w:t>
      </w:r>
      <w:r w:rsidR="00937799">
        <w:t xml:space="preserve">le nom de leurs </w:t>
      </w:r>
      <w:r w:rsidR="00927CFD" w:rsidRPr="00110305">
        <w:t>« </w:t>
      </w:r>
      <w:r w:rsidR="00927CFD">
        <w:t>enfants légitimes</w:t>
      </w:r>
      <w:r w:rsidR="00927CFD" w:rsidRPr="00110305">
        <w:t> »</w:t>
      </w:r>
      <w:r w:rsidR="00937799">
        <w:t xml:space="preserve"> </w:t>
      </w:r>
      <w:r w:rsidR="00EE3B2D">
        <w:t>par l</w:t>
      </w:r>
      <w:r w:rsidR="00785BC1">
        <w:t>’</w:t>
      </w:r>
      <w:r w:rsidR="00EE3B2D">
        <w:t>adjonction du</w:t>
      </w:r>
      <w:r w:rsidR="00DD0C29">
        <w:t xml:space="preserve"> nom « Cusan »</w:t>
      </w:r>
      <w:r w:rsidR="009008CC">
        <w:t>. Ils expliquaient</w:t>
      </w:r>
      <w:r w:rsidR="00937799">
        <w:t xml:space="preserve"> souhaiter</w:t>
      </w:r>
      <w:r w:rsidR="00DD0C29">
        <w:t xml:space="preserve"> leur permettre </w:t>
      </w:r>
      <w:r w:rsidR="009008CC">
        <w:t xml:space="preserve">par ce biais </w:t>
      </w:r>
      <w:r w:rsidR="00DD0C29">
        <w:t>de s</w:t>
      </w:r>
      <w:r w:rsidR="00785BC1">
        <w:t>’</w:t>
      </w:r>
      <w:r w:rsidR="00DD0C29">
        <w:t xml:space="preserve">identifier </w:t>
      </w:r>
      <w:r w:rsidR="00937799">
        <w:t>au</w:t>
      </w:r>
      <w:r w:rsidR="00DD0C29">
        <w:t xml:space="preserve"> patrimoine moral de leur grand-père maternel </w:t>
      </w:r>
      <w:r w:rsidR="009008CC">
        <w:t xml:space="preserve">– </w:t>
      </w:r>
      <w:r w:rsidR="00DD0C29">
        <w:t xml:space="preserve">décédé en 2011, </w:t>
      </w:r>
      <w:r w:rsidR="009008CC">
        <w:t xml:space="preserve">et </w:t>
      </w:r>
      <w:r w:rsidR="00DD0C29">
        <w:t xml:space="preserve">qui </w:t>
      </w:r>
      <w:r w:rsidR="0041177F">
        <w:t xml:space="preserve">selon leurs dires </w:t>
      </w:r>
      <w:r w:rsidR="00DD0C29">
        <w:t>avait</w:t>
      </w:r>
      <w:r w:rsidR="0041177F">
        <w:t xml:space="preserve"> </w:t>
      </w:r>
      <w:r w:rsidR="00DD0C29">
        <w:t>été un philanthrope</w:t>
      </w:r>
      <w:r w:rsidR="009008CC">
        <w:t xml:space="preserve"> – ; l</w:t>
      </w:r>
      <w:r w:rsidR="00DD0C29">
        <w:t>e frère de la requérante n</w:t>
      </w:r>
      <w:r w:rsidR="00785BC1">
        <w:t>’</w:t>
      </w:r>
      <w:r w:rsidR="00DD0C29">
        <w:t xml:space="preserve">ayant pas eu de descendants, le nom « Cusan » </w:t>
      </w:r>
      <w:r w:rsidR="009008CC">
        <w:t>ne pouvait</w:t>
      </w:r>
      <w:r w:rsidR="003A6282">
        <w:t xml:space="preserve"> se perpétuer</w:t>
      </w:r>
      <w:r w:rsidR="0041177F">
        <w:t>, précisaient-ils,</w:t>
      </w:r>
      <w:r w:rsidR="009008CC">
        <w:t xml:space="preserve"> </w:t>
      </w:r>
      <w:r w:rsidR="00E7002A">
        <w:t>qu</w:t>
      </w:r>
      <w:r w:rsidR="00785BC1">
        <w:t>’</w:t>
      </w:r>
      <w:r w:rsidR="00E7002A">
        <w:t>en</w:t>
      </w:r>
      <w:r w:rsidR="00DD0C29">
        <w:t xml:space="preserve"> passant aux enfants de M</w:t>
      </w:r>
      <w:r w:rsidR="00DD0C29" w:rsidRPr="00DD0C29">
        <w:rPr>
          <w:vertAlign w:val="superscript"/>
        </w:rPr>
        <w:t>me</w:t>
      </w:r>
      <w:r w:rsidR="003E3D09">
        <w:t> </w:t>
      </w:r>
      <w:r w:rsidR="00DD0C29">
        <w:t>Alessandra Cusan.</w:t>
      </w:r>
    </w:p>
    <w:p w:rsidR="002D70E0" w:rsidRDefault="00DD0C29" w:rsidP="00110305">
      <w:pPr>
        <w:pStyle w:val="JuPara"/>
      </w:pPr>
      <w:r>
        <w:fldChar w:fldCharType="begin"/>
      </w:r>
      <w:r>
        <w:instrText xml:space="preserve"> SEQ level0 \*arabic </w:instrText>
      </w:r>
      <w:r>
        <w:fldChar w:fldCharType="separate"/>
      </w:r>
      <w:r w:rsidR="00152465">
        <w:rPr>
          <w:noProof/>
        </w:rPr>
        <w:t>22</w:t>
      </w:r>
      <w:r>
        <w:fldChar w:fldCharType="end"/>
      </w:r>
      <w:r>
        <w:t xml:space="preserve">.  Par un décret du 14 décembre 2012, le </w:t>
      </w:r>
      <w:r w:rsidR="003E3D09">
        <w:t>p</w:t>
      </w:r>
      <w:r>
        <w:t>réfet de Milan autorisa les requérants à changer le nom de leurs enfants en « Fazzo Cusan ».</w:t>
      </w:r>
    </w:p>
    <w:p w:rsidR="002D70E0" w:rsidRDefault="00DD0C29" w:rsidP="00110305">
      <w:pPr>
        <w:pStyle w:val="JuPara"/>
      </w:pPr>
      <w:r>
        <w:fldChar w:fldCharType="begin"/>
      </w:r>
      <w:r>
        <w:instrText xml:space="preserve"> SEQ level0 \*arabic </w:instrText>
      </w:r>
      <w:r>
        <w:fldChar w:fldCharType="separate"/>
      </w:r>
      <w:r w:rsidR="00152465">
        <w:rPr>
          <w:noProof/>
        </w:rPr>
        <w:t>23</w:t>
      </w:r>
      <w:r>
        <w:fldChar w:fldCharType="end"/>
      </w:r>
      <w:r>
        <w:t xml:space="preserve">.  Les requérants </w:t>
      </w:r>
      <w:r w:rsidR="0041177F">
        <w:t>précisent</w:t>
      </w:r>
      <w:r>
        <w:t xml:space="preserve"> qu</w:t>
      </w:r>
      <w:r w:rsidR="00785BC1">
        <w:t>’</w:t>
      </w:r>
      <w:r>
        <w:t>en dépit de cette autorisation, ils souhaitent maintenir leur requête devant la Cour. A cet égard, il</w:t>
      </w:r>
      <w:r w:rsidR="003E3D09">
        <w:t>s font</w:t>
      </w:r>
      <w:r>
        <w:t xml:space="preserve"> observe</w:t>
      </w:r>
      <w:r w:rsidR="003E3D09">
        <w:t>r</w:t>
      </w:r>
      <w:r>
        <w:t xml:space="preserve"> que le décret du Préfet a été émis à l</w:t>
      </w:r>
      <w:r w:rsidR="00785BC1">
        <w:t>’</w:t>
      </w:r>
      <w:r>
        <w:t>issue d</w:t>
      </w:r>
      <w:r w:rsidR="00785BC1">
        <w:t>’</w:t>
      </w:r>
      <w:r>
        <w:t>une procédure administrative, et non judiciaire, et qu</w:t>
      </w:r>
      <w:r w:rsidR="00785BC1">
        <w:t>’</w:t>
      </w:r>
      <w:r>
        <w:t>ils n</w:t>
      </w:r>
      <w:r w:rsidR="00785BC1">
        <w:t>’</w:t>
      </w:r>
      <w:r>
        <w:t>ont pas été autorisés à donner à leur enfant uniquement le nom de famille de leur mère, comme ils l</w:t>
      </w:r>
      <w:r w:rsidR="00785BC1">
        <w:t>’</w:t>
      </w:r>
      <w:r>
        <w:t>avaient demandé au tribunal de Milan.</w:t>
      </w:r>
    </w:p>
    <w:p w:rsidR="0000732D" w:rsidRPr="00110305" w:rsidRDefault="0000732D" w:rsidP="00B33C50">
      <w:pPr>
        <w:pStyle w:val="JuHIRoman"/>
        <w:outlineLvl w:val="0"/>
      </w:pPr>
      <w:r w:rsidRPr="00110305">
        <w:t>II.  LE DROIT INTERNE PERTINENT</w:t>
      </w:r>
    </w:p>
    <w:p w:rsidR="00110305" w:rsidRDefault="00110305" w:rsidP="00110305">
      <w:pPr>
        <w:pStyle w:val="JuPara"/>
      </w:pPr>
      <w:r w:rsidRPr="00110305">
        <w:fldChar w:fldCharType="begin"/>
      </w:r>
      <w:r w:rsidRPr="00110305">
        <w:instrText xml:space="preserve"> SEQ level0 \*arabic </w:instrText>
      </w:r>
      <w:r w:rsidRPr="00110305">
        <w:fldChar w:fldCharType="separate"/>
      </w:r>
      <w:r w:rsidR="00152465">
        <w:rPr>
          <w:noProof/>
        </w:rPr>
        <w:t>24</w:t>
      </w:r>
      <w:r w:rsidRPr="00110305">
        <w:fldChar w:fldCharType="end"/>
      </w:r>
      <w:r w:rsidR="0000732D" w:rsidRPr="00110305">
        <w:t>.  </w:t>
      </w:r>
      <w:r>
        <w:t>L</w:t>
      </w:r>
      <w:r w:rsidR="00785BC1">
        <w:t>’</w:t>
      </w:r>
      <w:r>
        <w:t>article 29 de la Constitution se lit comme suit :</w:t>
      </w:r>
    </w:p>
    <w:p w:rsidR="002D70E0" w:rsidRDefault="00110305" w:rsidP="00110305">
      <w:pPr>
        <w:pStyle w:val="JuQuot"/>
      </w:pPr>
      <w:r>
        <w:t>« </w:t>
      </w:r>
      <w:r w:rsidRPr="00EA5655">
        <w:t xml:space="preserve">La </w:t>
      </w:r>
      <w:r>
        <w:t>R</w:t>
      </w:r>
      <w:r w:rsidRPr="00EA5655">
        <w:t>épublique reconnaît les droits de la famille comme société naturelle fondée sur le mariage.</w:t>
      </w:r>
    </w:p>
    <w:p w:rsidR="0000732D" w:rsidRDefault="00110305" w:rsidP="00110305">
      <w:pPr>
        <w:pStyle w:val="JuQuot"/>
      </w:pPr>
      <w:r>
        <w:t>Le mariage est fondé (</w:t>
      </w:r>
      <w:r>
        <w:rPr>
          <w:i/>
        </w:rPr>
        <w:t>ordinato</w:t>
      </w:r>
      <w:r>
        <w:t>) sur l</w:t>
      </w:r>
      <w:r w:rsidR="00785BC1">
        <w:t>’</w:t>
      </w:r>
      <w:r>
        <w:t xml:space="preserve">égalité morale et juridique des époux, </w:t>
      </w:r>
      <w:r w:rsidR="003E3D09">
        <w:t xml:space="preserve">dans </w:t>
      </w:r>
      <w:r>
        <w:t xml:space="preserve">les limites établies par la loi </w:t>
      </w:r>
      <w:r w:rsidR="003E3D09">
        <w:t xml:space="preserve">pour la </w:t>
      </w:r>
      <w:r>
        <w:t>protection de l</w:t>
      </w:r>
      <w:r w:rsidR="00785BC1">
        <w:t>’</w:t>
      </w:r>
      <w:r>
        <w:t>unité familiale. »</w:t>
      </w:r>
    </w:p>
    <w:p w:rsidR="002D70E0" w:rsidRDefault="00A04330" w:rsidP="00186FB2">
      <w:pPr>
        <w:pStyle w:val="JuPara"/>
      </w:pPr>
      <w:r>
        <w:fldChar w:fldCharType="begin"/>
      </w:r>
      <w:r>
        <w:instrText xml:space="preserve"> SEQ level0 \*arabic </w:instrText>
      </w:r>
      <w:r>
        <w:fldChar w:fldCharType="separate"/>
      </w:r>
      <w:r w:rsidR="00152465">
        <w:rPr>
          <w:noProof/>
        </w:rPr>
        <w:t>25</w:t>
      </w:r>
      <w:r>
        <w:fldChar w:fldCharType="end"/>
      </w:r>
      <w:r>
        <w:t>.  Les articles 153 à 164 du décret</w:t>
      </w:r>
      <w:r w:rsidR="00226907">
        <w:t xml:space="preserve"> </w:t>
      </w:r>
      <w:r>
        <w:t>royal n</w:t>
      </w:r>
      <w:r w:rsidR="0010731F" w:rsidRPr="0010731F">
        <w:rPr>
          <w:vertAlign w:val="superscript"/>
        </w:rPr>
        <w:t>o</w:t>
      </w:r>
      <w:r>
        <w:t xml:space="preserve"> 1238 du 9 juillet 193</w:t>
      </w:r>
      <w:r w:rsidR="00226907">
        <w:t>9</w:t>
      </w:r>
      <w:r>
        <w:t>, tels qu</w:t>
      </w:r>
      <w:r w:rsidR="00785BC1">
        <w:t>’</w:t>
      </w:r>
      <w:r>
        <w:t>en vigueur à l</w:t>
      </w:r>
      <w:r w:rsidR="00785BC1">
        <w:t>’</w:t>
      </w:r>
      <w:r>
        <w:t>époque de la naissance de Maddalena, prévoyaient qu</w:t>
      </w:r>
      <w:r w:rsidR="003A6282">
        <w:t xml:space="preserve">e toute demande de changement de nom devait être adressée au </w:t>
      </w:r>
      <w:r w:rsidR="003E3D09">
        <w:t>p</w:t>
      </w:r>
      <w:r>
        <w:t>résident de la République, exposer les raisons la justifiant et être publié</w:t>
      </w:r>
      <w:r w:rsidR="00574EAB">
        <w:t>e</w:t>
      </w:r>
      <w:r>
        <w:t xml:space="preserve"> au journal officiel. En </w:t>
      </w:r>
      <w:r w:rsidR="00BE02AA">
        <w:t>la matière</w:t>
      </w:r>
      <w:r>
        <w:t xml:space="preserve">, le </w:t>
      </w:r>
      <w:r w:rsidR="00574EAB">
        <w:t xml:space="preserve">président </w:t>
      </w:r>
      <w:r>
        <w:t>de la République exerçait un pouvoir discrétionnaire.</w:t>
      </w:r>
    </w:p>
    <w:p w:rsidR="00186FB2" w:rsidRDefault="00186FB2" w:rsidP="00186FB2">
      <w:pPr>
        <w:pStyle w:val="JuPara"/>
      </w:pPr>
      <w:r>
        <w:fldChar w:fldCharType="begin"/>
      </w:r>
      <w:r>
        <w:instrText xml:space="preserve"> SEQ level0 \*arabic </w:instrText>
      </w:r>
      <w:r>
        <w:fldChar w:fldCharType="separate"/>
      </w:r>
      <w:r w:rsidR="00152465">
        <w:rPr>
          <w:noProof/>
        </w:rPr>
        <w:t>26</w:t>
      </w:r>
      <w:r>
        <w:fldChar w:fldCharType="end"/>
      </w:r>
      <w:r>
        <w:t>.  </w:t>
      </w:r>
      <w:r w:rsidR="0033369C">
        <w:t xml:space="preserve">Postérieurement à </w:t>
      </w:r>
      <w:r w:rsidR="003A6282">
        <w:t>la naissance de Maddalena</w:t>
      </w:r>
      <w:r w:rsidR="0033369C">
        <w:t xml:space="preserve"> est entré en vigueur</w:t>
      </w:r>
      <w:r w:rsidR="003A6282">
        <w:t xml:space="preserve"> le </w:t>
      </w:r>
      <w:r>
        <w:t>décret présidentiel n</w:t>
      </w:r>
      <w:r w:rsidR="0010731F" w:rsidRPr="0010731F">
        <w:rPr>
          <w:vertAlign w:val="superscript"/>
        </w:rPr>
        <w:t>o</w:t>
      </w:r>
      <w:r>
        <w:t xml:space="preserve"> 396 du 3</w:t>
      </w:r>
      <w:r w:rsidR="003A6282">
        <w:t> </w:t>
      </w:r>
      <w:r>
        <w:t>novembre 2000</w:t>
      </w:r>
      <w:r w:rsidR="003A6282">
        <w:t>. Son article 84</w:t>
      </w:r>
      <w:r>
        <w:t>, intitulé « changement du nom de famille »</w:t>
      </w:r>
      <w:r w:rsidR="003A6282">
        <w:t>,</w:t>
      </w:r>
      <w:r>
        <w:t xml:space="preserve"> se lit comme suit :</w:t>
      </w:r>
    </w:p>
    <w:p w:rsidR="00186FB2" w:rsidRPr="00186FB2" w:rsidRDefault="00AC2352" w:rsidP="00110305">
      <w:pPr>
        <w:pStyle w:val="JuQuot"/>
      </w:pPr>
      <w:r>
        <w:t>« </w:t>
      </w:r>
      <w:r w:rsidR="00186FB2" w:rsidRPr="00186FB2">
        <w:t>Quiconque souhaite changer le nom de famille ou ajouter au sien un autre nom de famille doit en faire la demande au ministère de l</w:t>
      </w:r>
      <w:r w:rsidR="00785BC1">
        <w:t>’</w:t>
      </w:r>
      <w:r w:rsidR="00186FB2" w:rsidRPr="00186FB2">
        <w:t>Intérieur en exposant les raisons qui la justifient.</w:t>
      </w:r>
      <w:r>
        <w:t> »</w:t>
      </w:r>
    </w:p>
    <w:p w:rsidR="00EC6427" w:rsidRPr="00110305" w:rsidRDefault="00EC6427" w:rsidP="00B33C50">
      <w:pPr>
        <w:pStyle w:val="JuHHead"/>
      </w:pPr>
      <w:r w:rsidRPr="00110305">
        <w:t>EN DROIT</w:t>
      </w:r>
    </w:p>
    <w:p w:rsidR="002D70E0" w:rsidRDefault="00EC6427">
      <w:pPr>
        <w:pStyle w:val="JuHIRoman"/>
      </w:pPr>
      <w:r w:rsidRPr="00110305">
        <w:t xml:space="preserve">I.  SUR LA VIOLATION ALLÉGUÉE DE </w:t>
      </w:r>
      <w:r w:rsidR="00870EE5">
        <w:t>L</w:t>
      </w:r>
      <w:r w:rsidR="00785BC1">
        <w:t>’</w:t>
      </w:r>
      <w:r w:rsidRPr="00110305">
        <w:t xml:space="preserve">ARTICLE </w:t>
      </w:r>
      <w:r w:rsidR="00110305">
        <w:t>8</w:t>
      </w:r>
      <w:r w:rsidRPr="00110305">
        <w:t xml:space="preserve"> DE LA</w:t>
      </w:r>
      <w:r w:rsidR="008E0AF5">
        <w:t> </w:t>
      </w:r>
      <w:r w:rsidRPr="00110305">
        <w:t>CONVENTION</w:t>
      </w:r>
      <w:r w:rsidR="008E0AF5">
        <w:t xml:space="preserve">, </w:t>
      </w:r>
      <w:r w:rsidR="003A6282">
        <w:t xml:space="preserve">SEUL OU </w:t>
      </w:r>
      <w:r w:rsidR="008E0AF5">
        <w:t>LU EN CONJONCTION AVEC L</w:t>
      </w:r>
      <w:r w:rsidR="00785BC1">
        <w:t>’</w:t>
      </w:r>
      <w:r w:rsidR="008E0AF5">
        <w:t>ARTICLE 14</w:t>
      </w:r>
    </w:p>
    <w:p w:rsidR="002D70E0" w:rsidRDefault="00110305" w:rsidP="009E2D52">
      <w:pPr>
        <w:pStyle w:val="JuPara"/>
      </w:pPr>
      <w:r w:rsidRPr="00110305">
        <w:fldChar w:fldCharType="begin"/>
      </w:r>
      <w:r w:rsidRPr="00110305">
        <w:instrText xml:space="preserve"> SEQ level0 \*arabic </w:instrText>
      </w:r>
      <w:r w:rsidRPr="00110305">
        <w:fldChar w:fldCharType="separate"/>
      </w:r>
      <w:r w:rsidR="00152465">
        <w:rPr>
          <w:noProof/>
        </w:rPr>
        <w:t>27</w:t>
      </w:r>
      <w:r w:rsidRPr="00110305">
        <w:fldChar w:fldCharType="end"/>
      </w:r>
      <w:r w:rsidR="00EC6427" w:rsidRPr="00110305">
        <w:t>.  </w:t>
      </w:r>
      <w:r>
        <w:t>L</w:t>
      </w:r>
      <w:r w:rsidRPr="00287721">
        <w:t xml:space="preserve">es requérants se plaignent </w:t>
      </w:r>
      <w:r>
        <w:t xml:space="preserve">du refus des autorités italiennes de faire droit à leur demande </w:t>
      </w:r>
      <w:r w:rsidR="00574EAB">
        <w:t xml:space="preserve">tendant à ce que soit attribué </w:t>
      </w:r>
      <w:r>
        <w:t>à leur fille le nom de famille de sa mère</w:t>
      </w:r>
      <w:r w:rsidR="00025CE6">
        <w:t xml:space="preserve"> et du fait que la législation italienne, telle qu</w:t>
      </w:r>
      <w:r w:rsidR="00785BC1">
        <w:t>’</w:t>
      </w:r>
      <w:r w:rsidR="00025CE6">
        <w:t>interprétée à l</w:t>
      </w:r>
      <w:r w:rsidR="00785BC1">
        <w:t>’</w:t>
      </w:r>
      <w:r w:rsidR="00025CE6">
        <w:t>époque des faits, imposait l</w:t>
      </w:r>
      <w:r w:rsidR="00785BC1">
        <w:t>’</w:t>
      </w:r>
      <w:r w:rsidR="00025CE6">
        <w:t xml:space="preserve">attribution automatique et sans exception du nom du père aux </w:t>
      </w:r>
      <w:r w:rsidR="00927CFD" w:rsidRPr="00110305">
        <w:t>« </w:t>
      </w:r>
      <w:r w:rsidR="00927CFD">
        <w:t>enfants légitimes</w:t>
      </w:r>
      <w:r w:rsidR="00927CFD" w:rsidRPr="00110305">
        <w:t> »</w:t>
      </w:r>
      <w:r w:rsidR="00025CE6">
        <w:t xml:space="preserve">. Ils considèrent que la loi aurait dû permettre aux parents de choisir le nom de famille de leurs enfants et </w:t>
      </w:r>
      <w:r>
        <w:t xml:space="preserve">invoquent </w:t>
      </w:r>
      <w:r w:rsidRPr="00287721">
        <w:t>l</w:t>
      </w:r>
      <w:r w:rsidR="00785BC1">
        <w:t>’</w:t>
      </w:r>
      <w:r w:rsidRPr="00287721">
        <w:t xml:space="preserve">article </w:t>
      </w:r>
      <w:r>
        <w:t>8</w:t>
      </w:r>
      <w:r w:rsidRPr="00287721">
        <w:t xml:space="preserve"> de la Convention,</w:t>
      </w:r>
      <w:r w:rsidR="000756B7">
        <w:t xml:space="preserve"> seul ou</w:t>
      </w:r>
      <w:r>
        <w:t xml:space="preserve"> lu en conjonction avec l</w:t>
      </w:r>
      <w:r w:rsidR="00785BC1">
        <w:t>’</w:t>
      </w:r>
      <w:r>
        <w:t>article</w:t>
      </w:r>
      <w:r w:rsidR="004457D8">
        <w:t> </w:t>
      </w:r>
      <w:r>
        <w:t>14.</w:t>
      </w:r>
    </w:p>
    <w:p w:rsidR="00110305" w:rsidRDefault="00540CFD" w:rsidP="009E2D52">
      <w:pPr>
        <w:pStyle w:val="JuPara"/>
      </w:pPr>
      <w:r>
        <w:t>Ces dispositions</w:t>
      </w:r>
      <w:r w:rsidR="00110305">
        <w:t xml:space="preserve"> s</w:t>
      </w:r>
      <w:r w:rsidR="00C128E5">
        <w:t>ont</w:t>
      </w:r>
      <w:r w:rsidR="00110305">
        <w:t xml:space="preserve"> </w:t>
      </w:r>
      <w:r w:rsidR="00C128E5">
        <w:t>ainsi libellées</w:t>
      </w:r>
      <w:r w:rsidR="00110305">
        <w:t> :</w:t>
      </w:r>
    </w:p>
    <w:p w:rsidR="00DF5C0A" w:rsidRPr="00DF5C0A" w:rsidRDefault="00DF5C0A" w:rsidP="00785BC1">
      <w:pPr>
        <w:pStyle w:val="JuHArticle"/>
      </w:pPr>
      <w:r w:rsidRPr="00DF5C0A">
        <w:t>Article 8</w:t>
      </w:r>
    </w:p>
    <w:p w:rsidR="00110305" w:rsidRDefault="00110305">
      <w:pPr>
        <w:pStyle w:val="JuQuot"/>
      </w:pPr>
      <w:r>
        <w:t>« 1.  Toute personne a droit au respect de sa vie privée et familiale, de son domicile et de sa correspondance.</w:t>
      </w:r>
    </w:p>
    <w:p w:rsidR="00EC6427" w:rsidRDefault="00110305">
      <w:pPr>
        <w:pStyle w:val="JuQuot"/>
      </w:pPr>
      <w:r>
        <w:t>2.  Il ne peut y avoir ingérence d</w:t>
      </w:r>
      <w:r w:rsidR="00785BC1">
        <w:t>’</w:t>
      </w:r>
      <w:r>
        <w:t>une autorité publique dans l</w:t>
      </w:r>
      <w:r w:rsidR="00785BC1">
        <w:t>’</w:t>
      </w:r>
      <w:r>
        <w:t>exercice de ce droit que pour autant que cette ingérence est prévue par la loi et qu</w:t>
      </w:r>
      <w:r w:rsidR="00785BC1">
        <w:t>’</w:t>
      </w:r>
      <w:r>
        <w:t>elle constitue une mesure qui, dans une société démocratique, est nécessaire à la sécurité nationale, à la sûreté publique, au bien</w:t>
      </w:r>
      <w:r>
        <w:noBreakHyphen/>
        <w:t>être économique du pays, à la défense de l</w:t>
      </w:r>
      <w:r w:rsidR="00785BC1">
        <w:t>’</w:t>
      </w:r>
      <w:r>
        <w:t>ordre et à la prévention des infractions pénales, à la protection de la santé ou de la morale, ou à la protection des droits et libertés d</w:t>
      </w:r>
      <w:r w:rsidR="00785BC1">
        <w:t>’</w:t>
      </w:r>
      <w:r>
        <w:t>autrui. »</w:t>
      </w:r>
    </w:p>
    <w:p w:rsidR="00DF5C0A" w:rsidRPr="00785BC1" w:rsidRDefault="00DF5C0A" w:rsidP="00785BC1">
      <w:pPr>
        <w:pStyle w:val="JuHArticle"/>
      </w:pPr>
      <w:r w:rsidRPr="00785BC1">
        <w:t>Article 14</w:t>
      </w:r>
    </w:p>
    <w:p w:rsidR="002D70E0" w:rsidRDefault="00DF5C0A">
      <w:pPr>
        <w:pStyle w:val="JuQuot"/>
      </w:pPr>
      <w:r>
        <w:t>« La jouissance des droits et libertés reconnus dans la (...) Convention doit être assurée, sans distinction aucune, fondée notamment sur le sexe, la race, la couleur, la langue, la religion, les opinions politiques ou toutes autres opinions, l</w:t>
      </w:r>
      <w:r w:rsidR="00785BC1">
        <w:t>’</w:t>
      </w:r>
      <w:r>
        <w:t>origine nationale ou sociale, l</w:t>
      </w:r>
      <w:r w:rsidR="00785BC1">
        <w:t>’</w:t>
      </w:r>
      <w:r>
        <w:t>appartenance à une minorité nationale, la fortune, la naissance ou toute autre situation. »</w:t>
      </w:r>
    </w:p>
    <w:p w:rsidR="00EC6427" w:rsidRPr="00110305" w:rsidRDefault="00110305">
      <w:pPr>
        <w:pStyle w:val="JuPara"/>
      </w:pPr>
      <w:r w:rsidRPr="00110305">
        <w:fldChar w:fldCharType="begin"/>
      </w:r>
      <w:r w:rsidRPr="00110305">
        <w:instrText xml:space="preserve"> SEQ level0 \*arabic </w:instrText>
      </w:r>
      <w:r w:rsidRPr="00110305">
        <w:fldChar w:fldCharType="separate"/>
      </w:r>
      <w:r w:rsidR="00152465">
        <w:rPr>
          <w:noProof/>
        </w:rPr>
        <w:t>28</w:t>
      </w:r>
      <w:r w:rsidRPr="00110305">
        <w:fldChar w:fldCharType="end"/>
      </w:r>
      <w:r w:rsidR="00EC6427" w:rsidRPr="00110305">
        <w:t xml:space="preserve">.  Le Gouvernement </w:t>
      </w:r>
      <w:r w:rsidR="00574EAB">
        <w:t>combat</w:t>
      </w:r>
      <w:r w:rsidR="00574EAB" w:rsidRPr="00110305">
        <w:t xml:space="preserve"> </w:t>
      </w:r>
      <w:r w:rsidR="00EC6427" w:rsidRPr="00110305">
        <w:t>cette thèse.</w:t>
      </w:r>
    </w:p>
    <w:p w:rsidR="00EC6427" w:rsidRDefault="00EC6427" w:rsidP="00B33C50">
      <w:pPr>
        <w:pStyle w:val="JuHA"/>
        <w:outlineLvl w:val="0"/>
      </w:pPr>
      <w:r w:rsidRPr="00110305">
        <w:t>A.  Sur la recevabilité</w:t>
      </w:r>
    </w:p>
    <w:p w:rsidR="002D70E0" w:rsidRDefault="00AB33E7" w:rsidP="00AB33E7">
      <w:pPr>
        <w:pStyle w:val="JuH1"/>
      </w:pPr>
      <w:r>
        <w:t>1.  L</w:t>
      </w:r>
      <w:r w:rsidR="00785BC1">
        <w:t>’</w:t>
      </w:r>
      <w:r>
        <w:t xml:space="preserve">exception du Gouvernement tirée de la perte de la qualité de </w:t>
      </w:r>
      <w:r w:rsidR="00004540">
        <w:t>« </w:t>
      </w:r>
      <w:r>
        <w:t>victimes</w:t>
      </w:r>
      <w:r w:rsidR="00004540">
        <w:t> »</w:t>
      </w:r>
      <w:r>
        <w:t xml:space="preserve"> des requérants</w:t>
      </w:r>
    </w:p>
    <w:p w:rsidR="004E206A" w:rsidRDefault="004E206A" w:rsidP="004E206A">
      <w:pPr>
        <w:pStyle w:val="JuPara"/>
      </w:pPr>
      <w:r>
        <w:fldChar w:fldCharType="begin"/>
      </w:r>
      <w:r>
        <w:instrText xml:space="preserve"> SEQ level0 \*arabic </w:instrText>
      </w:r>
      <w:r>
        <w:fldChar w:fldCharType="separate"/>
      </w:r>
      <w:r w:rsidR="00152465">
        <w:rPr>
          <w:noProof/>
        </w:rPr>
        <w:t>29</w:t>
      </w:r>
      <w:r>
        <w:fldChar w:fldCharType="end"/>
      </w:r>
      <w:r>
        <w:t>.  Le Gouvernement affirme tout d</w:t>
      </w:r>
      <w:r w:rsidR="00785BC1">
        <w:t>’</w:t>
      </w:r>
      <w:r>
        <w:t>abord que la requête est « aujourd</w:t>
      </w:r>
      <w:r w:rsidR="00785BC1">
        <w:t>’</w:t>
      </w:r>
      <w:r>
        <w:t xml:space="preserve">hui irrecevable et </w:t>
      </w:r>
      <w:r w:rsidR="00574EAB">
        <w:t>(</w:t>
      </w:r>
      <w:r w:rsidR="0010731F">
        <w:t>...</w:t>
      </w:r>
      <w:r w:rsidR="00574EAB">
        <w:t xml:space="preserve">) </w:t>
      </w:r>
      <w:r>
        <w:t>mal fondée »</w:t>
      </w:r>
      <w:r w:rsidR="00DD6BFB">
        <w:t xml:space="preserve">, </w:t>
      </w:r>
      <w:r w:rsidR="00574EAB">
        <w:t xml:space="preserve">faisant valoir que </w:t>
      </w:r>
      <w:r>
        <w:t xml:space="preserve">les requérants ont été autorisés par le </w:t>
      </w:r>
      <w:r w:rsidR="00574EAB">
        <w:t>p</w:t>
      </w:r>
      <w:r>
        <w:t>réfet de Milan à ajouter, pour tous leurs enfants mineurs, le nom de famille de la mère (Cusan) au nom de famille du père (Fazzo – paragraphe 22 ci-dessus)</w:t>
      </w:r>
      <w:r w:rsidR="00DA5B97">
        <w:t>.</w:t>
      </w:r>
    </w:p>
    <w:p w:rsidR="002D70E0" w:rsidRDefault="00025CE6" w:rsidP="004E206A">
      <w:pPr>
        <w:pStyle w:val="JuPara"/>
      </w:pPr>
      <w:r>
        <w:fldChar w:fldCharType="begin"/>
      </w:r>
      <w:r>
        <w:instrText xml:space="preserve"> SEQ level0 \*arabic </w:instrText>
      </w:r>
      <w:r>
        <w:fldChar w:fldCharType="separate"/>
      </w:r>
      <w:r w:rsidR="00152465">
        <w:rPr>
          <w:noProof/>
        </w:rPr>
        <w:t>30</w:t>
      </w:r>
      <w:r>
        <w:fldChar w:fldCharType="end"/>
      </w:r>
      <w:r>
        <w:t xml:space="preserve">.  Les requérants </w:t>
      </w:r>
      <w:r w:rsidR="00574EAB">
        <w:t>n</w:t>
      </w:r>
      <w:r w:rsidR="00785BC1">
        <w:t>’</w:t>
      </w:r>
      <w:r w:rsidR="00574EAB">
        <w:t xml:space="preserve">estiment pas avoir perdu </w:t>
      </w:r>
      <w:r w:rsidR="00004540">
        <w:t>leur</w:t>
      </w:r>
      <w:r w:rsidR="00574EAB">
        <w:t xml:space="preserve"> qualité de </w:t>
      </w:r>
      <w:r>
        <w:t xml:space="preserve">victimes. </w:t>
      </w:r>
      <w:r w:rsidR="00574EAB">
        <w:t xml:space="preserve">Selon eux, </w:t>
      </w:r>
      <w:r>
        <w:t>l</w:t>
      </w:r>
      <w:r w:rsidR="00785BC1">
        <w:t>’</w:t>
      </w:r>
      <w:r>
        <w:t xml:space="preserve">autorisation </w:t>
      </w:r>
      <w:r w:rsidR="00574EAB">
        <w:t>d</w:t>
      </w:r>
      <w:r w:rsidR="00785BC1">
        <w:t>’</w:t>
      </w:r>
      <w:r w:rsidR="005E7C6C">
        <w:t>ajouter le nom de la mère au nom du père n</w:t>
      </w:r>
      <w:r w:rsidR="00785BC1">
        <w:t>’</w:t>
      </w:r>
      <w:r w:rsidR="005E7C6C">
        <w:t>était pas une mesure suffisante, car il n</w:t>
      </w:r>
      <w:r w:rsidR="00785BC1">
        <w:t>’</w:t>
      </w:r>
      <w:r w:rsidR="005E7C6C">
        <w:t>y a pas eu reconnaissance, même implicite, d</w:t>
      </w:r>
      <w:r w:rsidR="00785BC1">
        <w:t>’</w:t>
      </w:r>
      <w:r w:rsidR="005E7C6C">
        <w:t xml:space="preserve">une violation de la Convention </w:t>
      </w:r>
      <w:r w:rsidR="00DD6BFB">
        <w:t>et</w:t>
      </w:r>
      <w:r w:rsidR="005E7C6C">
        <w:t xml:space="preserve"> elle n</w:t>
      </w:r>
      <w:r w:rsidR="00785BC1">
        <w:t>’</w:t>
      </w:r>
      <w:r w:rsidR="005E7C6C">
        <w:t>a pas permis d</w:t>
      </w:r>
      <w:r w:rsidR="00785BC1">
        <w:t>’</w:t>
      </w:r>
      <w:r w:rsidR="005E7C6C">
        <w:t xml:space="preserve">attribuer à Maddalena le nom « Cusan » dès sa naissance. De plus, </w:t>
      </w:r>
      <w:r w:rsidR="00CA2544">
        <w:t xml:space="preserve">précisent-ils, </w:t>
      </w:r>
      <w:r w:rsidR="005E7C6C">
        <w:t xml:space="preserve">aucune </w:t>
      </w:r>
      <w:r w:rsidR="0046676F">
        <w:t>indemnis</w:t>
      </w:r>
      <w:r w:rsidR="005E7C6C">
        <w:t xml:space="preserve">ation </w:t>
      </w:r>
      <w:r w:rsidR="0046676F">
        <w:t xml:space="preserve">ne leur </w:t>
      </w:r>
      <w:r w:rsidR="005E7C6C">
        <w:t xml:space="preserve">a été </w:t>
      </w:r>
      <w:r w:rsidR="0046676F">
        <w:t>accor</w:t>
      </w:r>
      <w:r w:rsidR="005E7C6C">
        <w:t xml:space="preserve">dée pour la période </w:t>
      </w:r>
      <w:r w:rsidR="0046676F">
        <w:t xml:space="preserve">antérieure </w:t>
      </w:r>
      <w:r w:rsidR="005E7C6C">
        <w:t xml:space="preserve">à la décision du </w:t>
      </w:r>
      <w:r w:rsidR="0046676F">
        <w:t>p</w:t>
      </w:r>
      <w:r w:rsidR="005E7C6C">
        <w:t>réfet.</w:t>
      </w:r>
    </w:p>
    <w:p w:rsidR="004E206A" w:rsidRDefault="004E206A" w:rsidP="007E34C8">
      <w:pPr>
        <w:pStyle w:val="JuPara"/>
      </w:pPr>
      <w:r>
        <w:fldChar w:fldCharType="begin"/>
      </w:r>
      <w:r>
        <w:instrText xml:space="preserve"> SEQ level0 \*arabic </w:instrText>
      </w:r>
      <w:r>
        <w:fldChar w:fldCharType="separate"/>
      </w:r>
      <w:r w:rsidR="00152465">
        <w:rPr>
          <w:noProof/>
        </w:rPr>
        <w:t>31</w:t>
      </w:r>
      <w:r>
        <w:fldChar w:fldCharType="end"/>
      </w:r>
      <w:r>
        <w:t>.  </w:t>
      </w:r>
      <w:r w:rsidR="002B7AE3">
        <w:t>La Cour rappelle qu</w:t>
      </w:r>
      <w:r w:rsidR="00785BC1">
        <w:t>’</w:t>
      </w:r>
      <w:r w:rsidR="002B7AE3">
        <w:t xml:space="preserve">une décision ou une mesure favorable au requérant ne suffit en principe à lui retirer la qualité de « victime » que si les autorités nationales ont reconnu, explicitement ou en substance, puis réparé la violation de la Convention (voir, par exemple, </w:t>
      </w:r>
      <w:r w:rsidR="002B7AE3" w:rsidRPr="002B7AE3">
        <w:rPr>
          <w:i/>
        </w:rPr>
        <w:t>Eckle c. Allemagne</w:t>
      </w:r>
      <w:r w:rsidR="002B7AE3">
        <w:t>, 15 juillet 1982, § 69, série A n</w:t>
      </w:r>
      <w:r w:rsidR="0010731F" w:rsidRPr="0010731F">
        <w:rPr>
          <w:vertAlign w:val="superscript"/>
        </w:rPr>
        <w:t>o</w:t>
      </w:r>
      <w:r w:rsidR="002B7AE3">
        <w:t xml:space="preserve"> 51</w:t>
      </w:r>
      <w:r w:rsidR="0046676F">
        <w:t> ;</w:t>
      </w:r>
      <w:r w:rsidR="002B7AE3">
        <w:t xml:space="preserve"> </w:t>
      </w:r>
      <w:r w:rsidR="002B7AE3" w:rsidRPr="002B7AE3">
        <w:rPr>
          <w:i/>
        </w:rPr>
        <w:t>Amuur c. France</w:t>
      </w:r>
      <w:r w:rsidR="002B7AE3">
        <w:t>, 25 juin 1996, §</w:t>
      </w:r>
      <w:r w:rsidR="004457D8">
        <w:t> </w:t>
      </w:r>
      <w:r w:rsidR="002B7AE3">
        <w:t xml:space="preserve">36, </w:t>
      </w:r>
      <w:r w:rsidR="002B7AE3" w:rsidRPr="002B7AE3">
        <w:rPr>
          <w:i/>
        </w:rPr>
        <w:t>Recueil des arrêts et décisions</w:t>
      </w:r>
      <w:r w:rsidR="002B7AE3">
        <w:t xml:space="preserve"> 1996-III</w:t>
      </w:r>
      <w:r w:rsidR="0046676F">
        <w:t> ;</w:t>
      </w:r>
      <w:r w:rsidR="002B7AE3">
        <w:t xml:space="preserve"> </w:t>
      </w:r>
      <w:r w:rsidR="002B7AE3" w:rsidRPr="002B7AE3">
        <w:rPr>
          <w:i/>
        </w:rPr>
        <w:t>Dalban c. Roumanie</w:t>
      </w:r>
      <w:r w:rsidR="002B7AE3">
        <w:t xml:space="preserve"> [GC], n</w:t>
      </w:r>
      <w:r w:rsidR="0010731F" w:rsidRPr="0010731F">
        <w:rPr>
          <w:vertAlign w:val="superscript"/>
        </w:rPr>
        <w:t>o</w:t>
      </w:r>
      <w:r w:rsidR="002B7AE3">
        <w:t> 28114/95, § 44, CEDH 1999-VI</w:t>
      </w:r>
      <w:r w:rsidR="0046676F">
        <w:t> ;</w:t>
      </w:r>
      <w:r w:rsidR="002B7AE3">
        <w:t xml:space="preserve"> </w:t>
      </w:r>
      <w:r w:rsidR="002B7AE3" w:rsidRPr="002B7AE3">
        <w:rPr>
          <w:i/>
        </w:rPr>
        <w:t>Jensen c. Danemark</w:t>
      </w:r>
      <w:r w:rsidR="002B7AE3">
        <w:t xml:space="preserve"> (déc.), n</w:t>
      </w:r>
      <w:r w:rsidR="0010731F" w:rsidRPr="0010731F">
        <w:rPr>
          <w:vertAlign w:val="superscript"/>
        </w:rPr>
        <w:t>o</w:t>
      </w:r>
      <w:r w:rsidR="002B7AE3">
        <w:t xml:space="preserve"> 48470/99, CEDH 2001-X ; et </w:t>
      </w:r>
      <w:r w:rsidR="002B7AE3" w:rsidRPr="000E3A6E">
        <w:rPr>
          <w:i/>
        </w:rPr>
        <w:t>Torreggiani e</w:t>
      </w:r>
      <w:r w:rsidR="002B7AE3">
        <w:rPr>
          <w:i/>
        </w:rPr>
        <w:t>t</w:t>
      </w:r>
      <w:r w:rsidR="002B7AE3" w:rsidRPr="000E3A6E">
        <w:rPr>
          <w:i/>
        </w:rPr>
        <w:t xml:space="preserve"> </w:t>
      </w:r>
      <w:r w:rsidR="002B7AE3">
        <w:rPr>
          <w:i/>
        </w:rPr>
        <w:t>autres</w:t>
      </w:r>
      <w:r w:rsidR="002B7AE3" w:rsidRPr="000E3A6E">
        <w:rPr>
          <w:i/>
        </w:rPr>
        <w:t xml:space="preserve"> c.</w:t>
      </w:r>
      <w:r w:rsidR="004457D8">
        <w:rPr>
          <w:i/>
        </w:rPr>
        <w:t> </w:t>
      </w:r>
      <w:r w:rsidR="002B7AE3" w:rsidRPr="000E3A6E">
        <w:rPr>
          <w:i/>
        </w:rPr>
        <w:t>Itali</w:t>
      </w:r>
      <w:r w:rsidR="002B7AE3">
        <w:rPr>
          <w:i/>
        </w:rPr>
        <w:t>e</w:t>
      </w:r>
      <w:r w:rsidR="002B7AE3" w:rsidRPr="000E3A6E">
        <w:rPr>
          <w:i/>
        </w:rPr>
        <w:t>,</w:t>
      </w:r>
      <w:r w:rsidR="002B7AE3" w:rsidRPr="000E3A6E">
        <w:t xml:space="preserve"> n</w:t>
      </w:r>
      <w:r w:rsidR="002B7AE3" w:rsidRPr="002B7AE3">
        <w:rPr>
          <w:vertAlign w:val="superscript"/>
        </w:rPr>
        <w:t>os</w:t>
      </w:r>
      <w:r w:rsidR="002B7AE3">
        <w:rPr>
          <w:vertAlign w:val="superscript"/>
        </w:rPr>
        <w:t> </w:t>
      </w:r>
      <w:hyperlink r:id="rId14" w:history="1">
        <w:r w:rsidR="002B7AE3" w:rsidRPr="000E3A6E">
          <w:t>57875/09</w:t>
        </w:r>
      </w:hyperlink>
      <w:r w:rsidR="002B7AE3" w:rsidRPr="000E3A6E">
        <w:t xml:space="preserve">, </w:t>
      </w:r>
      <w:hyperlink r:id="rId15" w:history="1">
        <w:r w:rsidR="002B7AE3" w:rsidRPr="000E3A6E">
          <w:t>46882/09</w:t>
        </w:r>
      </w:hyperlink>
      <w:r w:rsidR="002B7AE3" w:rsidRPr="000E3A6E">
        <w:t xml:space="preserve">, </w:t>
      </w:r>
      <w:hyperlink r:id="rId16" w:history="1">
        <w:r w:rsidR="002B7AE3" w:rsidRPr="000E3A6E">
          <w:t>55400/09</w:t>
        </w:r>
      </w:hyperlink>
      <w:r w:rsidR="002B7AE3" w:rsidRPr="000E3A6E">
        <w:t xml:space="preserve">, </w:t>
      </w:r>
      <w:hyperlink r:id="rId17" w:history="1">
        <w:r w:rsidR="002B7AE3" w:rsidRPr="000E3A6E">
          <w:t>57875/09</w:t>
        </w:r>
      </w:hyperlink>
      <w:r w:rsidR="002B7AE3" w:rsidRPr="000E3A6E">
        <w:t xml:space="preserve">, </w:t>
      </w:r>
      <w:hyperlink r:id="rId18" w:history="1">
        <w:r w:rsidR="002B7AE3" w:rsidRPr="000E3A6E">
          <w:t>61535/09</w:t>
        </w:r>
      </w:hyperlink>
      <w:r w:rsidR="002B7AE3" w:rsidRPr="000E3A6E">
        <w:t xml:space="preserve">, </w:t>
      </w:r>
      <w:hyperlink r:id="rId19" w:history="1">
        <w:r w:rsidR="002B7AE3" w:rsidRPr="000E3A6E">
          <w:t>35315/10</w:t>
        </w:r>
      </w:hyperlink>
      <w:r w:rsidR="004457D8">
        <w:t xml:space="preserve"> </w:t>
      </w:r>
      <w:r w:rsidR="002B7AE3" w:rsidRPr="000E3A6E">
        <w:t>e</w:t>
      </w:r>
      <w:r w:rsidR="00DD6BFB">
        <w:t xml:space="preserve">t </w:t>
      </w:r>
      <w:hyperlink r:id="rId20" w:history="1">
        <w:r w:rsidR="002B7AE3" w:rsidRPr="000E3A6E">
          <w:t>37818/10</w:t>
        </w:r>
      </w:hyperlink>
      <w:r w:rsidR="002B7AE3">
        <w:t>, § 38, 8 janvier 2013).</w:t>
      </w:r>
    </w:p>
    <w:p w:rsidR="002D70E0" w:rsidRDefault="00A04330" w:rsidP="007E34C8">
      <w:pPr>
        <w:pStyle w:val="JuPara"/>
      </w:pPr>
      <w:r>
        <w:fldChar w:fldCharType="begin"/>
      </w:r>
      <w:r>
        <w:instrText xml:space="preserve"> SEQ level0 \*arabic </w:instrText>
      </w:r>
      <w:r>
        <w:fldChar w:fldCharType="separate"/>
      </w:r>
      <w:r w:rsidR="00152465">
        <w:rPr>
          <w:noProof/>
        </w:rPr>
        <w:t>32</w:t>
      </w:r>
      <w:r>
        <w:fldChar w:fldCharType="end"/>
      </w:r>
      <w:r>
        <w:t>.  </w:t>
      </w:r>
      <w:r w:rsidR="00C128E5">
        <w:t>En l</w:t>
      </w:r>
      <w:r w:rsidR="00785BC1">
        <w:t>’</w:t>
      </w:r>
      <w:r w:rsidR="00C128E5">
        <w:t xml:space="preserve">espèce, les requérants se plaignent de ne pas avoir </w:t>
      </w:r>
      <w:r w:rsidR="002A1854">
        <w:t>pu</w:t>
      </w:r>
      <w:r w:rsidR="000756B7">
        <w:t xml:space="preserve"> faire attribuer à leur fille, dès</w:t>
      </w:r>
      <w:r w:rsidR="002A1854">
        <w:t xml:space="preserve"> sa naissance, le nom de famille de sa mère. </w:t>
      </w:r>
      <w:r w:rsidR="000756B7">
        <w:t>L</w:t>
      </w:r>
      <w:r w:rsidR="002A1854">
        <w:t>es autorités</w:t>
      </w:r>
      <w:r w:rsidR="000756B7">
        <w:t xml:space="preserve"> italiennes n</w:t>
      </w:r>
      <w:r w:rsidR="00785BC1">
        <w:t>’</w:t>
      </w:r>
      <w:r w:rsidR="000756B7">
        <w:t xml:space="preserve">ont pas accepté </w:t>
      </w:r>
      <w:r w:rsidR="0046676F">
        <w:t>d</w:t>
      </w:r>
      <w:r w:rsidR="00785BC1">
        <w:t>’</w:t>
      </w:r>
      <w:r w:rsidR="002A1854">
        <w:t xml:space="preserve">inscrire </w:t>
      </w:r>
      <w:r w:rsidR="000756B7">
        <w:t>Maddalena dans les registres d</w:t>
      </w:r>
      <w:r w:rsidR="00785BC1">
        <w:t>’</w:t>
      </w:r>
      <w:r w:rsidR="000756B7">
        <w:t xml:space="preserve">état civil avec </w:t>
      </w:r>
      <w:r w:rsidR="003864B8">
        <w:t xml:space="preserve">le </w:t>
      </w:r>
      <w:r w:rsidR="000756B7">
        <w:t>nom de famille de la requérante</w:t>
      </w:r>
      <w:r w:rsidR="002A1854">
        <w:t xml:space="preserve">, </w:t>
      </w:r>
      <w:r w:rsidR="00BE02AA">
        <w:t>et</w:t>
      </w:r>
      <w:r w:rsidR="002A1854">
        <w:t xml:space="preserve"> se sont bornées à autoriser, </w:t>
      </w:r>
      <w:r w:rsidR="00EF0D02">
        <w:t xml:space="preserve">environ </w:t>
      </w:r>
      <w:r w:rsidR="002A1854">
        <w:t xml:space="preserve">treize ans </w:t>
      </w:r>
      <w:r w:rsidR="00EF0D02">
        <w:t>plus tard</w:t>
      </w:r>
      <w:r w:rsidR="002A1854">
        <w:t>, un changement de nom</w:t>
      </w:r>
      <w:r w:rsidR="0046676F">
        <w:t xml:space="preserve"> en se fondant sur l</w:t>
      </w:r>
      <w:r w:rsidR="00785BC1">
        <w:t>’</w:t>
      </w:r>
      <w:r w:rsidR="0046676F">
        <w:t>article 84 du décret présidentiel n</w:t>
      </w:r>
      <w:r w:rsidR="0010731F" w:rsidRPr="0010731F">
        <w:rPr>
          <w:vertAlign w:val="superscript"/>
        </w:rPr>
        <w:t>o</w:t>
      </w:r>
      <w:r w:rsidR="0046676F">
        <w:t xml:space="preserve"> 396 de 2000 (paragraphes 22 et 26</w:t>
      </w:r>
      <w:r w:rsidR="004457D8">
        <w:t> </w:t>
      </w:r>
      <w:r w:rsidR="0046676F">
        <w:t>ci-dessus)</w:t>
      </w:r>
      <w:r w:rsidR="002A1854">
        <w:t>. Ce changement n</w:t>
      </w:r>
      <w:r w:rsidR="00785BC1">
        <w:t>’</w:t>
      </w:r>
      <w:r w:rsidR="002A1854">
        <w:t xml:space="preserve">a pas </w:t>
      </w:r>
      <w:r w:rsidR="0046676F">
        <w:t xml:space="preserve">consisté en </w:t>
      </w:r>
      <w:r w:rsidR="002A1854">
        <w:t>l</w:t>
      </w:r>
      <w:r w:rsidR="00785BC1">
        <w:t>’</w:t>
      </w:r>
      <w:r w:rsidR="002A1854">
        <w:t>attribution du seul nom de famille de la mère, comme les requérants le souhaitaient</w:t>
      </w:r>
      <w:r w:rsidR="00EF0D02">
        <w:t xml:space="preserve"> (paragraphe</w:t>
      </w:r>
      <w:r w:rsidR="004457D8">
        <w:t> </w:t>
      </w:r>
      <w:r w:rsidR="00EF0D02">
        <w:t>23 ci</w:t>
      </w:r>
      <w:r w:rsidR="0046676F">
        <w:noBreakHyphen/>
      </w:r>
      <w:r w:rsidR="00EF0D02">
        <w:t>dessus)</w:t>
      </w:r>
      <w:r w:rsidR="002A1854">
        <w:t xml:space="preserve">, mais </w:t>
      </w:r>
      <w:r w:rsidR="0046676F">
        <w:t xml:space="preserve">en un simple </w:t>
      </w:r>
      <w:r w:rsidR="002A1854">
        <w:t>ajout du nom de la mère à celui du père.</w:t>
      </w:r>
    </w:p>
    <w:p w:rsidR="00A04330" w:rsidRDefault="00EF0D02" w:rsidP="007E34C8">
      <w:pPr>
        <w:pStyle w:val="JuPara"/>
      </w:pPr>
      <w:r>
        <w:fldChar w:fldCharType="begin"/>
      </w:r>
      <w:r>
        <w:instrText xml:space="preserve"> SEQ level0 \*arabic </w:instrText>
      </w:r>
      <w:r>
        <w:fldChar w:fldCharType="separate"/>
      </w:r>
      <w:r w:rsidR="00152465">
        <w:rPr>
          <w:noProof/>
        </w:rPr>
        <w:t>33</w:t>
      </w:r>
      <w:r>
        <w:fldChar w:fldCharType="end"/>
      </w:r>
      <w:r>
        <w:t>.  </w:t>
      </w:r>
      <w:r w:rsidR="007741FF">
        <w:t>Dans ces circonstances, l</w:t>
      </w:r>
      <w:r w:rsidR="00785BC1">
        <w:t>’</w:t>
      </w:r>
      <w:r w:rsidR="007741FF">
        <w:t xml:space="preserve">exception du Gouvernement tirée de la perte </w:t>
      </w:r>
      <w:r w:rsidR="0046676F">
        <w:t xml:space="preserve">par les requérants </w:t>
      </w:r>
      <w:r w:rsidR="007741FF">
        <w:t xml:space="preserve">de </w:t>
      </w:r>
      <w:r w:rsidR="00004540">
        <w:t xml:space="preserve">leur </w:t>
      </w:r>
      <w:r w:rsidR="007741FF">
        <w:t xml:space="preserve">qualité de victimes ne </w:t>
      </w:r>
      <w:r w:rsidR="0046676F">
        <w:t>pe</w:t>
      </w:r>
      <w:r w:rsidR="007741FF">
        <w:t>ut être retenue.</w:t>
      </w:r>
    </w:p>
    <w:p w:rsidR="00A04330" w:rsidRDefault="00AB33E7" w:rsidP="00AB33E7">
      <w:pPr>
        <w:pStyle w:val="JuH1"/>
      </w:pPr>
      <w:r>
        <w:t>2.  L</w:t>
      </w:r>
      <w:r w:rsidR="00785BC1">
        <w:t>’</w:t>
      </w:r>
      <w:r>
        <w:t>exception du Gouvernement tirée de l</w:t>
      </w:r>
      <w:r w:rsidR="00785BC1">
        <w:t>’</w:t>
      </w:r>
      <w:r>
        <w:t xml:space="preserve">absence de préjudice </w:t>
      </w:r>
      <w:r w:rsidR="00090F24">
        <w:t>important</w:t>
      </w:r>
    </w:p>
    <w:p w:rsidR="002D70E0" w:rsidRDefault="00A04330" w:rsidP="007E34C8">
      <w:pPr>
        <w:pStyle w:val="JuPara"/>
      </w:pPr>
      <w:r>
        <w:fldChar w:fldCharType="begin"/>
      </w:r>
      <w:r>
        <w:instrText xml:space="preserve"> SEQ level0 \*arabic </w:instrText>
      </w:r>
      <w:r>
        <w:fldChar w:fldCharType="separate"/>
      </w:r>
      <w:r w:rsidR="00152465">
        <w:rPr>
          <w:noProof/>
        </w:rPr>
        <w:t>34</w:t>
      </w:r>
      <w:r>
        <w:fldChar w:fldCharType="end"/>
      </w:r>
      <w:r>
        <w:t>.  Le Gouvernement affirme également, dans le dernier paragraphe de ses observations, que « les requérants n</w:t>
      </w:r>
      <w:r w:rsidR="00785BC1">
        <w:t>’</w:t>
      </w:r>
      <w:r>
        <w:t>ont subi aucun préjudice important au sens de l</w:t>
      </w:r>
      <w:r w:rsidR="00785BC1">
        <w:t>’</w:t>
      </w:r>
      <w:r>
        <w:t>article 35 § 3 b) » de la Convention.</w:t>
      </w:r>
    </w:p>
    <w:p w:rsidR="002D70E0" w:rsidRDefault="00A04330" w:rsidP="007E34C8">
      <w:pPr>
        <w:pStyle w:val="JuPara"/>
      </w:pPr>
      <w:r>
        <w:fldChar w:fldCharType="begin"/>
      </w:r>
      <w:r>
        <w:instrText xml:space="preserve"> SEQ level0 \*arabic </w:instrText>
      </w:r>
      <w:r>
        <w:fldChar w:fldCharType="separate"/>
      </w:r>
      <w:r w:rsidR="00152465">
        <w:rPr>
          <w:noProof/>
        </w:rPr>
        <w:t>35</w:t>
      </w:r>
      <w:r>
        <w:fldChar w:fldCharType="end"/>
      </w:r>
      <w:r>
        <w:t xml:space="preserve">.  Les requérants estiment que </w:t>
      </w:r>
      <w:r w:rsidR="00CA2544">
        <w:t>cette</w:t>
      </w:r>
      <w:r>
        <w:t xml:space="preserve"> exception</w:t>
      </w:r>
      <w:r w:rsidR="00CA2544">
        <w:t xml:space="preserve"> n</w:t>
      </w:r>
      <w:r w:rsidR="00785BC1">
        <w:t>’</w:t>
      </w:r>
      <w:r w:rsidR="00CA2544">
        <w:t>est pas étayée</w:t>
      </w:r>
      <w:r>
        <w:t>. En tout état de cause, même s</w:t>
      </w:r>
      <w:r w:rsidR="00785BC1">
        <w:t>’</w:t>
      </w:r>
      <w:r>
        <w:t>ils n</w:t>
      </w:r>
      <w:r w:rsidR="00785BC1">
        <w:t>’</w:t>
      </w:r>
      <w:r>
        <w:t xml:space="preserve">ont subi aucune perte financière, </w:t>
      </w:r>
      <w:r w:rsidR="00CA2544">
        <w:t>ils</w:t>
      </w:r>
      <w:r w:rsidR="00C45AC0">
        <w:t xml:space="preserve"> estiment avoir subi une atteinte à</w:t>
      </w:r>
      <w:r w:rsidR="001B2A5A">
        <w:t xml:space="preserve"> l</w:t>
      </w:r>
      <w:r w:rsidR="00785BC1">
        <w:t>’</w:t>
      </w:r>
      <w:r w:rsidR="001B2A5A">
        <w:t xml:space="preserve">un de leurs droits fondamentaux, à savoir le droit au nom, </w:t>
      </w:r>
      <w:r w:rsidR="00C45AC0">
        <w:t xml:space="preserve">qui relève </w:t>
      </w:r>
      <w:r w:rsidR="001B2A5A">
        <w:t>de la notion de « vie privée » au</w:t>
      </w:r>
      <w:r w:rsidR="00C45AC0">
        <w:t xml:space="preserve"> sens </w:t>
      </w:r>
      <w:r w:rsidR="001B2A5A">
        <w:t>de l</w:t>
      </w:r>
      <w:r w:rsidR="00785BC1">
        <w:t>’</w:t>
      </w:r>
      <w:r w:rsidR="001B2A5A">
        <w:t xml:space="preserve">article 8 de la Convention, et une discrimination basée sur le sexe. De plus, </w:t>
      </w:r>
      <w:r w:rsidR="00C45AC0">
        <w:t xml:space="preserve">selon eux, </w:t>
      </w:r>
      <w:r w:rsidR="001B2A5A">
        <w:t xml:space="preserve">la requête soulève des questions de caractère général non encore résolues par la Cour </w:t>
      </w:r>
      <w:r w:rsidR="006955EC">
        <w:t>et susceptibles d</w:t>
      </w:r>
      <w:r w:rsidR="00785BC1">
        <w:t>’</w:t>
      </w:r>
      <w:r w:rsidR="006955EC">
        <w:t xml:space="preserve">intéresser </w:t>
      </w:r>
      <w:r w:rsidR="001B2A5A">
        <w:t xml:space="preserve">toute personne se trouvant dans une situation comparable à </w:t>
      </w:r>
      <w:r w:rsidR="006955EC">
        <w:t>la leur</w:t>
      </w:r>
      <w:r w:rsidR="001B2A5A">
        <w:t>.</w:t>
      </w:r>
    </w:p>
    <w:p w:rsidR="009B5CBA" w:rsidRDefault="001B2A5A" w:rsidP="007E34C8">
      <w:pPr>
        <w:pStyle w:val="JuPara"/>
      </w:pPr>
      <w:r>
        <w:fldChar w:fldCharType="begin"/>
      </w:r>
      <w:r>
        <w:instrText xml:space="preserve"> SEQ level0 \*arabic </w:instrText>
      </w:r>
      <w:r>
        <w:fldChar w:fldCharType="separate"/>
      </w:r>
      <w:r w:rsidR="00152465">
        <w:rPr>
          <w:noProof/>
        </w:rPr>
        <w:t>36</w:t>
      </w:r>
      <w:r>
        <w:fldChar w:fldCharType="end"/>
      </w:r>
      <w:r>
        <w:t>.  </w:t>
      </w:r>
      <w:r w:rsidR="00CA2544">
        <w:t>La Cour rappelle que, selon sa</w:t>
      </w:r>
      <w:r w:rsidR="00090F24">
        <w:t xml:space="preserve"> jurisprudence, le principal élément du critère de recevabilité prévu à l</w:t>
      </w:r>
      <w:r w:rsidR="00785BC1">
        <w:t>’</w:t>
      </w:r>
      <w:r w:rsidR="00090F24">
        <w:t>article 35 § 2 b) de la Convention est la question de savoir si le requérant n</w:t>
      </w:r>
      <w:r w:rsidR="00785BC1">
        <w:t>’</w:t>
      </w:r>
      <w:r w:rsidR="00090F24">
        <w:t xml:space="preserve">a subi aucun </w:t>
      </w:r>
      <w:r w:rsidR="006955EC">
        <w:t>« </w:t>
      </w:r>
      <w:r w:rsidR="00090F24">
        <w:t>préjudice important</w:t>
      </w:r>
      <w:r w:rsidR="006955EC">
        <w:t> »</w:t>
      </w:r>
      <w:r w:rsidR="004457D8">
        <w:t> </w:t>
      </w:r>
      <w:r w:rsidR="00090F24">
        <w:t>(</w:t>
      </w:r>
      <w:r w:rsidR="00090F24" w:rsidRPr="00227FAC">
        <w:rPr>
          <w:i/>
        </w:rPr>
        <w:t>Adrian Mihai Ionescu c. Roumanie</w:t>
      </w:r>
      <w:r w:rsidR="00090F24">
        <w:t xml:space="preserve"> (déc.), n</w:t>
      </w:r>
      <w:r w:rsidR="0010731F" w:rsidRPr="0010731F">
        <w:rPr>
          <w:vertAlign w:val="superscript"/>
        </w:rPr>
        <w:t>o</w:t>
      </w:r>
      <w:r w:rsidR="00090F24">
        <w:t xml:space="preserve"> 36659/04, §</w:t>
      </w:r>
      <w:r w:rsidR="004457D8">
        <w:t> </w:t>
      </w:r>
      <w:r w:rsidR="00090F24">
        <w:t>32, 1</w:t>
      </w:r>
      <w:r w:rsidR="00090F24" w:rsidRPr="00227FAC">
        <w:rPr>
          <w:vertAlign w:val="superscript"/>
        </w:rPr>
        <w:t>er</w:t>
      </w:r>
      <w:r w:rsidR="004457D8">
        <w:t> </w:t>
      </w:r>
      <w:r w:rsidR="00090F24">
        <w:t xml:space="preserve">juin 2010). La notion de </w:t>
      </w:r>
      <w:r w:rsidR="006955EC">
        <w:t>« </w:t>
      </w:r>
      <w:r w:rsidR="00090F24">
        <w:t>préjudice important</w:t>
      </w:r>
      <w:r w:rsidR="006955EC">
        <w:t> »</w:t>
      </w:r>
      <w:r w:rsidR="00090F24">
        <w:t xml:space="preserve">, issue du principe </w:t>
      </w:r>
      <w:r w:rsidR="00090F24" w:rsidRPr="00227FAC">
        <w:rPr>
          <w:i/>
        </w:rPr>
        <w:t xml:space="preserve">de minimis non curat </w:t>
      </w:r>
      <w:r w:rsidR="00090F24" w:rsidRPr="00004540">
        <w:rPr>
          <w:i/>
        </w:rPr>
        <w:t>praetor</w:t>
      </w:r>
      <w:r w:rsidR="00090F24">
        <w:t>, renvoie à l</w:t>
      </w:r>
      <w:r w:rsidR="00785BC1">
        <w:t>’</w:t>
      </w:r>
      <w:r w:rsidR="00090F24">
        <w:t>idée que la violation d</w:t>
      </w:r>
      <w:r w:rsidR="00785BC1">
        <w:t>’</w:t>
      </w:r>
      <w:r w:rsidR="00090F24">
        <w:t>un droit doit atteindre un seuil minimum de gravité pour justifier un examen par une juridiction internationale. L</w:t>
      </w:r>
      <w:r w:rsidR="00785BC1">
        <w:t>’</w:t>
      </w:r>
      <w:r w:rsidR="00090F24">
        <w:t>appréciation de ce seuil est, par nature, relative et dépend des circonstances de l</w:t>
      </w:r>
      <w:r w:rsidR="00785BC1">
        <w:t>’</w:t>
      </w:r>
      <w:r w:rsidR="00090F24">
        <w:t>espèce (</w:t>
      </w:r>
      <w:r w:rsidR="00090F24" w:rsidRPr="00227FAC">
        <w:rPr>
          <w:i/>
        </w:rPr>
        <w:t>Korolev c. Russie</w:t>
      </w:r>
      <w:r w:rsidR="00090F24">
        <w:t xml:space="preserve"> (déc.), n</w:t>
      </w:r>
      <w:r w:rsidR="0010731F" w:rsidRPr="0010731F">
        <w:rPr>
          <w:vertAlign w:val="superscript"/>
        </w:rPr>
        <w:t>o</w:t>
      </w:r>
      <w:r w:rsidR="004457D8">
        <w:t> </w:t>
      </w:r>
      <w:r w:rsidR="00090F24">
        <w:t xml:space="preserve">25551/05, </w:t>
      </w:r>
      <w:r w:rsidR="006955EC">
        <w:t>CEDH</w:t>
      </w:r>
      <w:r w:rsidR="00090F24">
        <w:t xml:space="preserve"> 2010). Cette appréciation doit tenir compte tant de la perception subjective du requérant que de l</w:t>
      </w:r>
      <w:r w:rsidR="00785BC1">
        <w:t>’</w:t>
      </w:r>
      <w:r w:rsidR="00090F24">
        <w:t>enjeu objectif du litige. Elle renvoie ainsi à des critères tels que l</w:t>
      </w:r>
      <w:r w:rsidR="00785BC1">
        <w:t>’</w:t>
      </w:r>
      <w:r w:rsidR="00090F24">
        <w:t>impact monétaire de la question litigieuse ou l</w:t>
      </w:r>
      <w:r w:rsidR="00785BC1">
        <w:t>’</w:t>
      </w:r>
      <w:r w:rsidR="00090F24">
        <w:t>enjeu de l</w:t>
      </w:r>
      <w:r w:rsidR="00785BC1">
        <w:t>’</w:t>
      </w:r>
      <w:r w:rsidR="00090F24">
        <w:t>affaire pour le requérant (</w:t>
      </w:r>
      <w:r w:rsidR="00090F24" w:rsidRPr="00227FAC">
        <w:rPr>
          <w:i/>
        </w:rPr>
        <w:t>Adrian Mihai Ionescu</w:t>
      </w:r>
      <w:r w:rsidR="00090F24">
        <w:t xml:space="preserve">, </w:t>
      </w:r>
      <w:r w:rsidR="006955EC">
        <w:t xml:space="preserve">décision </w:t>
      </w:r>
      <w:r w:rsidR="00090F24">
        <w:t>précitée, § 34).</w:t>
      </w:r>
    </w:p>
    <w:p w:rsidR="009B5CBA" w:rsidRPr="00DA5B97" w:rsidRDefault="006E71C5" w:rsidP="007E34C8">
      <w:pPr>
        <w:pStyle w:val="JuPara"/>
      </w:pPr>
      <w:r>
        <w:fldChar w:fldCharType="begin"/>
      </w:r>
      <w:r>
        <w:instrText xml:space="preserve"> SEQ level0 \*arabic </w:instrText>
      </w:r>
      <w:r>
        <w:fldChar w:fldCharType="separate"/>
      </w:r>
      <w:r w:rsidR="00152465">
        <w:rPr>
          <w:noProof/>
        </w:rPr>
        <w:t>37</w:t>
      </w:r>
      <w:r>
        <w:fldChar w:fldCharType="end"/>
      </w:r>
      <w:r>
        <w:t>.  </w:t>
      </w:r>
      <w:r w:rsidR="00372E95" w:rsidRPr="00372E95">
        <w:t>L</w:t>
      </w:r>
      <w:r w:rsidRPr="00372E95">
        <w:t>a Cour observe que l</w:t>
      </w:r>
      <w:r w:rsidR="00785BC1">
        <w:t>’</w:t>
      </w:r>
      <w:r w:rsidRPr="00372E95">
        <w:t xml:space="preserve">affaire </w:t>
      </w:r>
      <w:r w:rsidR="00372E95" w:rsidRPr="00372E95">
        <w:t xml:space="preserve">ne semble pas </w:t>
      </w:r>
      <w:r w:rsidR="00BE02AA">
        <w:t>comporter</w:t>
      </w:r>
      <w:r w:rsidR="00BE02AA" w:rsidRPr="00372E95">
        <w:t xml:space="preserve"> </w:t>
      </w:r>
      <w:r w:rsidR="00372E95" w:rsidRPr="00372E95">
        <w:t>d</w:t>
      </w:r>
      <w:r w:rsidR="00785BC1">
        <w:t>’</w:t>
      </w:r>
      <w:r w:rsidRPr="00372E95">
        <w:t>enjeu financier.</w:t>
      </w:r>
      <w:r w:rsidR="006D7969">
        <w:t xml:space="preserve"> </w:t>
      </w:r>
      <w:r w:rsidRPr="00372E95">
        <w:t>Toutefois, l</w:t>
      </w:r>
      <w:r w:rsidR="00785BC1">
        <w:t>’</w:t>
      </w:r>
      <w:r w:rsidRPr="00372E95">
        <w:t>importance subjective de la question paraît évidente pour le</w:t>
      </w:r>
      <w:r w:rsidR="00372E95" w:rsidRPr="00372E95">
        <w:t>s</w:t>
      </w:r>
      <w:r w:rsidRPr="00372E95">
        <w:t xml:space="preserve"> requérant</w:t>
      </w:r>
      <w:r w:rsidR="00372E95" w:rsidRPr="00372E95">
        <w:t>s</w:t>
      </w:r>
      <w:r w:rsidRPr="00372E95">
        <w:t xml:space="preserve"> (voir, </w:t>
      </w:r>
      <w:r w:rsidRPr="000F52D4">
        <w:rPr>
          <w:i/>
        </w:rPr>
        <w:t>a contrario</w:t>
      </w:r>
      <w:r w:rsidRPr="00372E95">
        <w:t xml:space="preserve">, </w:t>
      </w:r>
      <w:r w:rsidRPr="00372E95">
        <w:rPr>
          <w:i/>
        </w:rPr>
        <w:t>Shefer c. Russie</w:t>
      </w:r>
      <w:r w:rsidRPr="00372E95">
        <w:t xml:space="preserve"> (déc.), n</w:t>
      </w:r>
      <w:r w:rsidR="0010731F" w:rsidRPr="0010731F">
        <w:rPr>
          <w:vertAlign w:val="superscript"/>
        </w:rPr>
        <w:t>o</w:t>
      </w:r>
      <w:r w:rsidRPr="00372E95">
        <w:t xml:space="preserve"> 45175/04, 13</w:t>
      </w:r>
      <w:r w:rsidR="004457D8">
        <w:t> </w:t>
      </w:r>
      <w:r w:rsidRPr="00372E95">
        <w:t>mars 2012). Ce</w:t>
      </w:r>
      <w:r w:rsidR="00372E95" w:rsidRPr="00372E95">
        <w:t>s</w:t>
      </w:r>
      <w:r w:rsidRPr="00372E95">
        <w:t xml:space="preserve"> dernier</w:t>
      </w:r>
      <w:r w:rsidR="00372E95" w:rsidRPr="00372E95">
        <w:t>s</w:t>
      </w:r>
      <w:r w:rsidRPr="00372E95">
        <w:t xml:space="preserve"> </w:t>
      </w:r>
      <w:r w:rsidR="00372E95" w:rsidRPr="00372E95">
        <w:t>ont</w:t>
      </w:r>
      <w:r w:rsidRPr="00372E95">
        <w:t xml:space="preserve"> en effet </w:t>
      </w:r>
      <w:r w:rsidR="00372E95" w:rsidRPr="00372E95">
        <w:t>introduit un recours contre la décision refusant d</w:t>
      </w:r>
      <w:r w:rsidR="00785BC1">
        <w:t>’</w:t>
      </w:r>
      <w:r w:rsidR="00372E95" w:rsidRPr="00372E95">
        <w:t xml:space="preserve">attribuer à Maddalena le nom de famille de sa mère et ont </w:t>
      </w:r>
      <w:r w:rsidRPr="00372E95">
        <w:t>poursuivi la procédure jusqu</w:t>
      </w:r>
      <w:r w:rsidR="00785BC1">
        <w:t>’</w:t>
      </w:r>
      <w:r w:rsidRPr="00372E95">
        <w:t xml:space="preserve">au bout (voir, </w:t>
      </w:r>
      <w:r w:rsidRPr="00372E95">
        <w:rPr>
          <w:i/>
        </w:rPr>
        <w:t>mutatis mutandis</w:t>
      </w:r>
      <w:r w:rsidRPr="00372E95">
        <w:t xml:space="preserve">, </w:t>
      </w:r>
      <w:r w:rsidRPr="00372E95">
        <w:rPr>
          <w:i/>
        </w:rPr>
        <w:t>Eon c.</w:t>
      </w:r>
      <w:r w:rsidR="006955EC">
        <w:rPr>
          <w:i/>
        </w:rPr>
        <w:t> </w:t>
      </w:r>
      <w:r w:rsidRPr="00CA2544">
        <w:rPr>
          <w:i/>
        </w:rPr>
        <w:t>France</w:t>
      </w:r>
      <w:r w:rsidRPr="003D3BB0">
        <w:t>, n</w:t>
      </w:r>
      <w:r w:rsidR="0010731F" w:rsidRPr="0010731F">
        <w:rPr>
          <w:vertAlign w:val="superscript"/>
        </w:rPr>
        <w:t>o</w:t>
      </w:r>
      <w:r w:rsidRPr="003D3BB0">
        <w:t xml:space="preserve"> 26118/10, § 34, 14 mars 2013).</w:t>
      </w:r>
    </w:p>
    <w:p w:rsidR="00597019" w:rsidRPr="000F52D4" w:rsidRDefault="00863F39" w:rsidP="007E34C8">
      <w:pPr>
        <w:pStyle w:val="JuPara"/>
      </w:pPr>
      <w:r w:rsidRPr="000F52D4">
        <w:fldChar w:fldCharType="begin"/>
      </w:r>
      <w:r w:rsidRPr="000F52D4">
        <w:instrText xml:space="preserve"> SEQ level0 \*arabic </w:instrText>
      </w:r>
      <w:r w:rsidRPr="000F52D4">
        <w:fldChar w:fldCharType="separate"/>
      </w:r>
      <w:r w:rsidR="00152465">
        <w:rPr>
          <w:noProof/>
        </w:rPr>
        <w:t>38</w:t>
      </w:r>
      <w:r w:rsidRPr="000F52D4">
        <w:fldChar w:fldCharType="end"/>
      </w:r>
      <w:r w:rsidRPr="000F52D4">
        <w:t>.  </w:t>
      </w:r>
      <w:r w:rsidR="00597019" w:rsidRPr="000F52D4">
        <w:t>Compte tenu de ce qui précède, la Cour estime que la première condition de l</w:t>
      </w:r>
      <w:r w:rsidR="00785BC1">
        <w:t>’</w:t>
      </w:r>
      <w:r w:rsidR="00597019" w:rsidRPr="000F52D4">
        <w:t>article 35 § 3 b) de la Convention, à savoir l</w:t>
      </w:r>
      <w:r w:rsidR="00785BC1">
        <w:t>’</w:t>
      </w:r>
      <w:r w:rsidR="00597019" w:rsidRPr="000F52D4">
        <w:t xml:space="preserve">absence de préjudice important pour les requérants, </w:t>
      </w:r>
      <w:r w:rsidR="000667DF" w:rsidRPr="000F52D4">
        <w:t>n</w:t>
      </w:r>
      <w:r w:rsidR="00785BC1">
        <w:t>’</w:t>
      </w:r>
      <w:r w:rsidR="000667DF" w:rsidRPr="000F52D4">
        <w:t>est pas</w:t>
      </w:r>
      <w:r w:rsidR="00597019" w:rsidRPr="000F52D4">
        <w:t xml:space="preserve"> remplie</w:t>
      </w:r>
      <w:r w:rsidR="000667DF" w:rsidRPr="000F52D4">
        <w:t xml:space="preserve">. Partant, </w:t>
      </w:r>
      <w:r w:rsidR="00597019" w:rsidRPr="000F52D4">
        <w:t>il y a lieu de rejeter l</w:t>
      </w:r>
      <w:r w:rsidR="00785BC1">
        <w:t>’</w:t>
      </w:r>
      <w:r w:rsidR="00597019" w:rsidRPr="000F52D4">
        <w:t>exception du Gouvernement.</w:t>
      </w:r>
    </w:p>
    <w:p w:rsidR="002D70E0" w:rsidRDefault="00863F39" w:rsidP="007E34C8">
      <w:pPr>
        <w:pStyle w:val="JuPara"/>
      </w:pPr>
      <w:r w:rsidRPr="000F52D4">
        <w:fldChar w:fldCharType="begin"/>
      </w:r>
      <w:r w:rsidRPr="000F52D4">
        <w:instrText xml:space="preserve"> SEQ level0 \*arabic </w:instrText>
      </w:r>
      <w:r w:rsidRPr="000F52D4">
        <w:fldChar w:fldCharType="separate"/>
      </w:r>
      <w:r w:rsidR="00152465">
        <w:rPr>
          <w:noProof/>
        </w:rPr>
        <w:t>39</w:t>
      </w:r>
      <w:r w:rsidRPr="000F52D4">
        <w:fldChar w:fldCharType="end"/>
      </w:r>
      <w:r w:rsidRPr="000F52D4">
        <w:t>.  </w:t>
      </w:r>
      <w:r w:rsidR="00597019" w:rsidRPr="000F52D4">
        <w:t xml:space="preserve">La Cour tient </w:t>
      </w:r>
      <w:r w:rsidR="000667DF" w:rsidRPr="000F52D4">
        <w:t>au surplus</w:t>
      </w:r>
      <w:r w:rsidR="00597019" w:rsidRPr="000F52D4">
        <w:t xml:space="preserve"> à préciser que la poursuite de l</w:t>
      </w:r>
      <w:r w:rsidR="00785BC1">
        <w:t>’</w:t>
      </w:r>
      <w:r w:rsidR="00597019" w:rsidRPr="000F52D4">
        <w:t>examen de l</w:t>
      </w:r>
      <w:r w:rsidR="00785BC1">
        <w:t>’</w:t>
      </w:r>
      <w:r w:rsidR="00597019" w:rsidRPr="000F52D4">
        <w:t>affaire s</w:t>
      </w:r>
      <w:r w:rsidR="00785BC1">
        <w:t>’</w:t>
      </w:r>
      <w:r w:rsidR="00597019" w:rsidRPr="000F52D4">
        <w:t>impose également au nom du respect des droits de l</w:t>
      </w:r>
      <w:r w:rsidR="00785BC1">
        <w:t>’</w:t>
      </w:r>
      <w:r w:rsidR="00597019" w:rsidRPr="000F52D4">
        <w:t xml:space="preserve">homme </w:t>
      </w:r>
      <w:r w:rsidR="009B5CBA" w:rsidRPr="000F52D4">
        <w:t>(voir,</w:t>
      </w:r>
      <w:r w:rsidR="009B5CBA" w:rsidRPr="00CA2544">
        <w:t xml:space="preserve"> </w:t>
      </w:r>
      <w:r w:rsidR="009B5CBA" w:rsidRPr="003D3BB0">
        <w:rPr>
          <w:i/>
        </w:rPr>
        <w:t>mutatis mutandis</w:t>
      </w:r>
      <w:r w:rsidR="009B5CBA" w:rsidRPr="00DA5B97">
        <w:t xml:space="preserve">, </w:t>
      </w:r>
      <w:r w:rsidR="00B8016C" w:rsidRPr="00DA5B97">
        <w:rPr>
          <w:i/>
          <w:color w:val="000000"/>
        </w:rPr>
        <w:t>Nicoleta Gheorghe</w:t>
      </w:r>
      <w:r w:rsidR="00B8016C" w:rsidRPr="00B8016C">
        <w:rPr>
          <w:i/>
          <w:color w:val="000000"/>
        </w:rPr>
        <w:t xml:space="preserve"> c. Ro</w:t>
      </w:r>
      <w:r w:rsidR="00B8016C">
        <w:rPr>
          <w:i/>
          <w:color w:val="000000"/>
        </w:rPr>
        <w:t>u</w:t>
      </w:r>
      <w:r w:rsidR="00B8016C" w:rsidRPr="00B8016C">
        <w:rPr>
          <w:i/>
          <w:color w:val="000000"/>
        </w:rPr>
        <w:t>mani</w:t>
      </w:r>
      <w:r w:rsidR="00B8016C">
        <w:rPr>
          <w:i/>
          <w:color w:val="000000"/>
        </w:rPr>
        <w:t>e</w:t>
      </w:r>
      <w:r w:rsidR="00B8016C" w:rsidRPr="00B8016C">
        <w:rPr>
          <w:color w:val="000000"/>
        </w:rPr>
        <w:t xml:space="preserve">, </w:t>
      </w:r>
      <w:r w:rsidR="00B8016C">
        <w:rPr>
          <w:color w:val="000000"/>
        </w:rPr>
        <w:t>n</w:t>
      </w:r>
      <w:r w:rsidR="0010731F" w:rsidRPr="0010731F">
        <w:rPr>
          <w:color w:val="000000"/>
          <w:vertAlign w:val="superscript"/>
        </w:rPr>
        <w:t>o</w:t>
      </w:r>
      <w:r w:rsidR="00B8016C" w:rsidRPr="00B8016C">
        <w:rPr>
          <w:color w:val="000000"/>
        </w:rPr>
        <w:t xml:space="preserve"> 23470/05</w:t>
      </w:r>
      <w:r w:rsidR="00B8016C">
        <w:rPr>
          <w:color w:val="000000"/>
        </w:rPr>
        <w:t>, §</w:t>
      </w:r>
      <w:r w:rsidR="004457D8">
        <w:rPr>
          <w:color w:val="000000"/>
        </w:rPr>
        <w:t> </w:t>
      </w:r>
      <w:r w:rsidR="00B8016C">
        <w:rPr>
          <w:color w:val="000000"/>
        </w:rPr>
        <w:t>24, 3</w:t>
      </w:r>
      <w:r w:rsidR="006955EC">
        <w:rPr>
          <w:color w:val="000000"/>
        </w:rPr>
        <w:t> </w:t>
      </w:r>
      <w:r w:rsidR="00B8016C">
        <w:rPr>
          <w:color w:val="000000"/>
        </w:rPr>
        <w:t>avril 2012</w:t>
      </w:r>
      <w:r w:rsidR="006E71C5">
        <w:rPr>
          <w:color w:val="000000"/>
        </w:rPr>
        <w:t xml:space="preserve">, et </w:t>
      </w:r>
      <w:r w:rsidR="006E71C5">
        <w:rPr>
          <w:i/>
          <w:color w:val="000000"/>
        </w:rPr>
        <w:t>Eon</w:t>
      </w:r>
      <w:r w:rsidR="006E71C5">
        <w:rPr>
          <w:color w:val="000000"/>
        </w:rPr>
        <w:t>, précité, § 35</w:t>
      </w:r>
      <w:r w:rsidR="009B5CBA">
        <w:t xml:space="preserve">). A cet égard, elle relève que la requête portée </w:t>
      </w:r>
      <w:r w:rsidR="00DD5DD4">
        <w:t xml:space="preserve">devant </w:t>
      </w:r>
      <w:r w:rsidR="00372E95">
        <w:t>la Cour par les</w:t>
      </w:r>
      <w:r w:rsidR="009B5CBA">
        <w:t xml:space="preserve"> </w:t>
      </w:r>
      <w:r w:rsidR="00372E95">
        <w:t>requérants</w:t>
      </w:r>
      <w:r w:rsidR="009B5CBA">
        <w:t xml:space="preserve"> soulève notamment la question de l</w:t>
      </w:r>
      <w:r w:rsidR="00785BC1">
        <w:t>’</w:t>
      </w:r>
      <w:r w:rsidR="002B4B36">
        <w:t>impossibilité, pour un couple marié, d</w:t>
      </w:r>
      <w:r w:rsidR="00785BC1">
        <w:t>’</w:t>
      </w:r>
      <w:r w:rsidR="002B4B36">
        <w:t>attribuer à ses enfants, à leur naissance, le nom de famille de la mère.</w:t>
      </w:r>
      <w:r w:rsidR="009B5CBA">
        <w:t xml:space="preserve"> Il s</w:t>
      </w:r>
      <w:r w:rsidR="00785BC1">
        <w:t>’</w:t>
      </w:r>
      <w:r w:rsidR="009B5CBA">
        <w:t xml:space="preserve">agit de la première affaire </w:t>
      </w:r>
      <w:r w:rsidR="002B4B36">
        <w:t xml:space="preserve">de ce type </w:t>
      </w:r>
      <w:r w:rsidR="009B5CBA">
        <w:t xml:space="preserve">que la Cour est appelée à examiner </w:t>
      </w:r>
      <w:r w:rsidR="002B4B36">
        <w:t>en ce qui concerne l</w:t>
      </w:r>
      <w:r w:rsidR="00785BC1">
        <w:t>’</w:t>
      </w:r>
      <w:r w:rsidR="002B4B36">
        <w:t>Italie et</w:t>
      </w:r>
      <w:r w:rsidR="009B5CBA">
        <w:t xml:space="preserve"> </w:t>
      </w:r>
      <w:r w:rsidR="002B4B36">
        <w:t>u</w:t>
      </w:r>
      <w:r w:rsidR="009B5CBA">
        <w:t>ne décision de la Cour sur cette question de principe guiderait les juridictions nationales.</w:t>
      </w:r>
      <w:r w:rsidR="00372E95">
        <w:t xml:space="preserve"> La question a par ailleurs fait l</w:t>
      </w:r>
      <w:r w:rsidR="00785BC1">
        <w:t>’</w:t>
      </w:r>
      <w:r w:rsidR="00372E95">
        <w:t xml:space="preserve">objet de </w:t>
      </w:r>
      <w:r w:rsidR="00DD5DD4">
        <w:t xml:space="preserve">divers </w:t>
      </w:r>
      <w:r w:rsidR="00372E95">
        <w:t>projets de loi (paragraphe</w:t>
      </w:r>
      <w:r w:rsidR="00E970D7">
        <w:t>s 13 et</w:t>
      </w:r>
      <w:r w:rsidR="00372E95">
        <w:t xml:space="preserve"> 19 ci-dessus), et, comme souligné par le Gouvernement lui-même</w:t>
      </w:r>
      <w:r w:rsidR="00E970D7">
        <w:t xml:space="preserve"> (paragraphe 50 ci-après)</w:t>
      </w:r>
      <w:r w:rsidR="00372E95">
        <w:t>, la Cour constitutionnelle a conclu qu</w:t>
      </w:r>
      <w:r w:rsidR="00785BC1">
        <w:t>’</w:t>
      </w:r>
      <w:r w:rsidR="00372E95">
        <w:t>une intervention du législateur était nécessaire.</w:t>
      </w:r>
    </w:p>
    <w:p w:rsidR="004E206A" w:rsidRDefault="00AB33E7" w:rsidP="00AB33E7">
      <w:pPr>
        <w:pStyle w:val="JuH1"/>
      </w:pPr>
      <w:r>
        <w:t>3.  Autres motifs d</w:t>
      </w:r>
      <w:r w:rsidR="00785BC1">
        <w:t>’</w:t>
      </w:r>
      <w:r>
        <w:t>irrecevabilité</w:t>
      </w:r>
    </w:p>
    <w:p w:rsidR="00EC6427" w:rsidRPr="00110305" w:rsidRDefault="00110305" w:rsidP="007E34C8">
      <w:pPr>
        <w:pStyle w:val="JuPara"/>
      </w:pPr>
      <w:r w:rsidRPr="00110305">
        <w:fldChar w:fldCharType="begin"/>
      </w:r>
      <w:r w:rsidRPr="00110305">
        <w:instrText xml:space="preserve"> SEQ level0 \*arabic </w:instrText>
      </w:r>
      <w:r w:rsidRPr="00110305">
        <w:fldChar w:fldCharType="separate"/>
      </w:r>
      <w:r w:rsidR="00152465">
        <w:rPr>
          <w:noProof/>
        </w:rPr>
        <w:t>40</w:t>
      </w:r>
      <w:r w:rsidRPr="00110305">
        <w:fldChar w:fldCharType="end"/>
      </w:r>
      <w:r w:rsidR="00EC6427" w:rsidRPr="00110305">
        <w:t xml:space="preserve">.  La Cour constate que </w:t>
      </w:r>
      <w:r w:rsidR="000165D2">
        <w:t>le présent</w:t>
      </w:r>
      <w:r w:rsidR="000165D2" w:rsidRPr="00110305">
        <w:t xml:space="preserve"> </w:t>
      </w:r>
      <w:r w:rsidR="00CB4956" w:rsidRPr="00110305">
        <w:t xml:space="preserve">grief </w:t>
      </w:r>
      <w:r w:rsidR="00EC6427" w:rsidRPr="00110305">
        <w:t>n</w:t>
      </w:r>
      <w:r w:rsidR="00785BC1">
        <w:t>’</w:t>
      </w:r>
      <w:r w:rsidR="00EC6427" w:rsidRPr="00110305">
        <w:t>est pas manifestement mal fondé au sens de l</w:t>
      </w:r>
      <w:r w:rsidR="00785BC1">
        <w:t>’</w:t>
      </w:r>
      <w:r w:rsidR="00EC6427" w:rsidRPr="00110305">
        <w:t xml:space="preserve">article </w:t>
      </w:r>
      <w:r w:rsidR="006716C1" w:rsidRPr="00110305">
        <w:t>35 § 3 a)</w:t>
      </w:r>
      <w:r w:rsidR="00EC6427" w:rsidRPr="00110305">
        <w:t xml:space="preserve"> de la Convention.</w:t>
      </w:r>
      <w:r w:rsidR="007357D0" w:rsidRPr="00110305">
        <w:t xml:space="preserve"> </w:t>
      </w:r>
      <w:r w:rsidR="00C270DE">
        <w:t>Elle</w:t>
      </w:r>
      <w:r w:rsidR="007357D0" w:rsidRPr="00110305">
        <w:t xml:space="preserve"> relève par ailleurs qu</w:t>
      </w:r>
      <w:r w:rsidR="00785BC1">
        <w:t>’</w:t>
      </w:r>
      <w:r w:rsidR="007357D0" w:rsidRPr="00110305">
        <w:t>il</w:t>
      </w:r>
      <w:r w:rsidR="00EC6427" w:rsidRPr="00110305">
        <w:t xml:space="preserve"> ne se heurte à aucun autre motif d</w:t>
      </w:r>
      <w:r w:rsidR="00785BC1">
        <w:t>’</w:t>
      </w:r>
      <w:r w:rsidR="00EC6427" w:rsidRPr="00110305">
        <w:t>irrecevabilité. Il convient donc de le déclarer recevable.</w:t>
      </w:r>
    </w:p>
    <w:p w:rsidR="00EC6427" w:rsidRDefault="00EC6427" w:rsidP="00B33C50">
      <w:pPr>
        <w:pStyle w:val="JuHA"/>
        <w:outlineLvl w:val="0"/>
      </w:pPr>
      <w:r w:rsidRPr="00110305">
        <w:t>B.  Sur le fond</w:t>
      </w:r>
    </w:p>
    <w:p w:rsidR="004E206A" w:rsidRDefault="004E206A" w:rsidP="004E206A">
      <w:pPr>
        <w:pStyle w:val="JuH1"/>
      </w:pPr>
      <w:r>
        <w:t>1.  Arguments de</w:t>
      </w:r>
      <w:r w:rsidR="006955EC">
        <w:t>s</w:t>
      </w:r>
      <w:r>
        <w:t xml:space="preserve"> parties</w:t>
      </w:r>
    </w:p>
    <w:p w:rsidR="004E206A" w:rsidRPr="004E206A" w:rsidRDefault="004E206A" w:rsidP="004E206A">
      <w:pPr>
        <w:pStyle w:val="JuHa0"/>
      </w:pPr>
      <w:r>
        <w:t>a)  Les requérants</w:t>
      </w:r>
    </w:p>
    <w:p w:rsidR="002D70E0" w:rsidRDefault="00110305" w:rsidP="00E970D7">
      <w:pPr>
        <w:pStyle w:val="JuPara"/>
      </w:pPr>
      <w:r w:rsidRPr="00110305">
        <w:fldChar w:fldCharType="begin"/>
      </w:r>
      <w:r w:rsidRPr="00110305">
        <w:instrText xml:space="preserve"> SEQ level0 \*arabic </w:instrText>
      </w:r>
      <w:r w:rsidRPr="00110305">
        <w:fldChar w:fldCharType="separate"/>
      </w:r>
      <w:r w:rsidR="00152465">
        <w:rPr>
          <w:noProof/>
        </w:rPr>
        <w:t>41</w:t>
      </w:r>
      <w:r w:rsidRPr="00110305">
        <w:fldChar w:fldCharType="end"/>
      </w:r>
      <w:r w:rsidR="00EC6427" w:rsidRPr="00110305">
        <w:t>.  </w:t>
      </w:r>
      <w:r w:rsidRPr="00110305">
        <w:t>Les requérants</w:t>
      </w:r>
      <w:r w:rsidR="00EC6427" w:rsidRPr="00110305">
        <w:t xml:space="preserve"> </w:t>
      </w:r>
      <w:r>
        <w:t>estiment que dans les sociétés modernes, l</w:t>
      </w:r>
      <w:r w:rsidR="00785BC1">
        <w:t>’</w:t>
      </w:r>
      <w:r>
        <w:t xml:space="preserve">unité de la famille ne saurait </w:t>
      </w:r>
      <w:r w:rsidR="006955EC">
        <w:t xml:space="preserve">dépendre de </w:t>
      </w:r>
      <w:r>
        <w:t>la transmission du nom du père</w:t>
      </w:r>
      <w:r w:rsidR="00FB1416">
        <w:t>,</w:t>
      </w:r>
      <w:r>
        <w:t xml:space="preserve"> et que la protection des intérêts de l</w:t>
      </w:r>
      <w:r w:rsidR="00785BC1">
        <w:t>’</w:t>
      </w:r>
      <w:r>
        <w:t xml:space="preserve">enfant ne saurait </w:t>
      </w:r>
      <w:r w:rsidR="006955EC">
        <w:t xml:space="preserve">davantage </w:t>
      </w:r>
      <w:r>
        <w:t xml:space="preserve">justifier la discrimination </w:t>
      </w:r>
      <w:r w:rsidR="006955EC">
        <w:t>en caus</w:t>
      </w:r>
      <w:r>
        <w:t>e.</w:t>
      </w:r>
      <w:r w:rsidR="00E970D7">
        <w:t xml:space="preserve"> Ils</w:t>
      </w:r>
      <w:r w:rsidR="001B2A5A">
        <w:t xml:space="preserve"> soulignent qu</w:t>
      </w:r>
      <w:r w:rsidR="00785BC1">
        <w:t>’</w:t>
      </w:r>
      <w:r w:rsidR="001B2A5A">
        <w:t xml:space="preserve">il y a eu un traitement différencié </w:t>
      </w:r>
      <w:r w:rsidR="001B2A5A" w:rsidRPr="00D344F9">
        <w:t>de personnes placées dans des situations comparables</w:t>
      </w:r>
      <w:r w:rsidR="001B2A5A">
        <w:t xml:space="preserve">, à savoir le mari et la femme, car le nom du père était imposé aux </w:t>
      </w:r>
      <w:r w:rsidR="00927CFD" w:rsidRPr="00110305">
        <w:t>« </w:t>
      </w:r>
      <w:r w:rsidR="00927CFD">
        <w:t>enfants légitimes</w:t>
      </w:r>
      <w:r w:rsidR="00927CFD" w:rsidRPr="00110305">
        <w:t> »</w:t>
      </w:r>
      <w:r w:rsidR="001B2A5A">
        <w:t xml:space="preserve">. Cette discrimination était </w:t>
      </w:r>
      <w:r w:rsidR="00FB1416">
        <w:t xml:space="preserve">à leurs yeux </w:t>
      </w:r>
      <w:r w:rsidR="001B2A5A">
        <w:t>clairement fondée sur le sexe.</w:t>
      </w:r>
    </w:p>
    <w:p w:rsidR="002D70E0" w:rsidRDefault="00E970D7" w:rsidP="009E2D52">
      <w:pPr>
        <w:pStyle w:val="JuPara"/>
      </w:pPr>
      <w:r>
        <w:fldChar w:fldCharType="begin"/>
      </w:r>
      <w:r>
        <w:instrText xml:space="preserve"> SEQ level0 \*arabic </w:instrText>
      </w:r>
      <w:r>
        <w:fldChar w:fldCharType="separate"/>
      </w:r>
      <w:r w:rsidR="00152465">
        <w:rPr>
          <w:noProof/>
        </w:rPr>
        <w:t>42</w:t>
      </w:r>
      <w:r>
        <w:fldChar w:fldCharType="end"/>
      </w:r>
      <w:r>
        <w:t>.  </w:t>
      </w:r>
      <w:r w:rsidR="004940BD">
        <w:t xml:space="preserve">Les requérants ne contestent pas que, en règle générale, les dispositions en matière </w:t>
      </w:r>
      <w:r w:rsidR="00847B0E">
        <w:t xml:space="preserve">de détermination </w:t>
      </w:r>
      <w:r w:rsidR="004940BD">
        <w:t xml:space="preserve">du nom </w:t>
      </w:r>
      <w:r w:rsidR="006955EC">
        <w:t xml:space="preserve">relèvent de </w:t>
      </w:r>
      <w:r w:rsidR="004940BD">
        <w:t>l</w:t>
      </w:r>
      <w:r w:rsidR="00785BC1">
        <w:t>’</w:t>
      </w:r>
      <w:r w:rsidR="004940BD">
        <w:t>intérêt public, en particulier en ce qui concerne la protection de l</w:t>
      </w:r>
      <w:r w:rsidR="00785BC1">
        <w:t>’</w:t>
      </w:r>
      <w:r w:rsidR="004940BD">
        <w:t>unité de la famille et la possibilité d</w:t>
      </w:r>
      <w:r w:rsidR="00785BC1">
        <w:t>’</w:t>
      </w:r>
      <w:r w:rsidR="004940BD">
        <w:t>identifier les personnes par rapport à leurs origines. Cependant, ils considèrent que l</w:t>
      </w:r>
      <w:r w:rsidR="00785BC1">
        <w:t>’</w:t>
      </w:r>
      <w:r w:rsidR="004940BD">
        <w:t xml:space="preserve">attribution automatique et obligatoire du nom du père ne poursuivait pas ces </w:t>
      </w:r>
      <w:r w:rsidR="006955EC">
        <w:t>f</w:t>
      </w:r>
      <w:r w:rsidR="004940BD">
        <w:t>ins en l</w:t>
      </w:r>
      <w:r w:rsidR="00785BC1">
        <w:t>’</w:t>
      </w:r>
      <w:r w:rsidR="004940BD">
        <w:t>espèce.</w:t>
      </w:r>
    </w:p>
    <w:p w:rsidR="002D70E0" w:rsidRDefault="004940BD" w:rsidP="009E2D52">
      <w:pPr>
        <w:pStyle w:val="JuPara"/>
      </w:pPr>
      <w:r>
        <w:fldChar w:fldCharType="begin"/>
      </w:r>
      <w:r>
        <w:instrText xml:space="preserve"> SEQ level0 \*arabic </w:instrText>
      </w:r>
      <w:r>
        <w:fldChar w:fldCharType="separate"/>
      </w:r>
      <w:r w:rsidR="00152465">
        <w:rPr>
          <w:noProof/>
        </w:rPr>
        <w:t>43</w:t>
      </w:r>
      <w:r>
        <w:fldChar w:fldCharType="end"/>
      </w:r>
      <w:r>
        <w:t>.  Pour ce qui concerne l</w:t>
      </w:r>
      <w:r w:rsidR="00785BC1">
        <w:t>’</w:t>
      </w:r>
      <w:r>
        <w:t>unité de la famille, l</w:t>
      </w:r>
      <w:r w:rsidR="00785BC1">
        <w:t>’</w:t>
      </w:r>
      <w:r>
        <w:t xml:space="preserve">attribution du nom de la mère aurait </w:t>
      </w:r>
      <w:r w:rsidR="00847B0E">
        <w:t xml:space="preserve">selon eux </w:t>
      </w:r>
      <w:r>
        <w:t>eu le même effet que l</w:t>
      </w:r>
      <w:r w:rsidR="00785BC1">
        <w:t>’</w:t>
      </w:r>
      <w:r>
        <w:t>attribution du nom du père, car Maddalena aurait été identifiée avec le nom de l</w:t>
      </w:r>
      <w:r w:rsidR="00785BC1">
        <w:t>’</w:t>
      </w:r>
      <w:r>
        <w:t>un de ses parents</w:t>
      </w:r>
      <w:r w:rsidR="00DD2C42">
        <w:t xml:space="preserve"> seulement</w:t>
      </w:r>
      <w:r>
        <w:t xml:space="preserve">. De plus, la requérante a constamment utilisé son nom de jeune fille. </w:t>
      </w:r>
      <w:r w:rsidR="00D1643E">
        <w:t>Maddalena était par ailleurs l</w:t>
      </w:r>
      <w:r w:rsidR="00785BC1">
        <w:t>’</w:t>
      </w:r>
      <w:r w:rsidR="00D1643E">
        <w:t>a</w:t>
      </w:r>
      <w:r w:rsidR="00DD6BFB">
        <w:t>î</w:t>
      </w:r>
      <w:r w:rsidR="00D1643E">
        <w:t xml:space="preserve">née de la famille et les requérants ont </w:t>
      </w:r>
      <w:r w:rsidR="005B2E31">
        <w:t xml:space="preserve">également </w:t>
      </w:r>
      <w:r w:rsidR="00D1643E">
        <w:t xml:space="preserve">demandé </w:t>
      </w:r>
      <w:r w:rsidR="006443A5">
        <w:t>l</w:t>
      </w:r>
      <w:r w:rsidR="00785BC1">
        <w:t>’</w:t>
      </w:r>
      <w:r w:rsidR="00D1643E">
        <w:t>attribu</w:t>
      </w:r>
      <w:r w:rsidR="006443A5">
        <w:t xml:space="preserve">tion du </w:t>
      </w:r>
      <w:r w:rsidR="00D1643E">
        <w:t xml:space="preserve">nom « Cusan » </w:t>
      </w:r>
      <w:r w:rsidR="005B2E31">
        <w:t xml:space="preserve">pour </w:t>
      </w:r>
      <w:r w:rsidR="00D1643E">
        <w:t>leurs deux autres enfants</w:t>
      </w:r>
      <w:r w:rsidR="006443A5">
        <w:t>,</w:t>
      </w:r>
      <w:r w:rsidR="00D1643E">
        <w:t xml:space="preserve"> nés en 2001 et 2003. A la lumière de ce qui précède, les requérants estiment que le seul but de la mesure contestée était celui de protéger une tradition, selon une conception de la famille dans laquelle le père jouit d</w:t>
      </w:r>
      <w:r w:rsidR="00785BC1">
        <w:t>’</w:t>
      </w:r>
      <w:r w:rsidR="00D1643E">
        <w:t>une position préférentielle</w:t>
      </w:r>
      <w:r w:rsidR="00DD2C42">
        <w:t xml:space="preserve">, comme </w:t>
      </w:r>
      <w:r w:rsidR="00D1643E">
        <w:t>la Cour de cassation</w:t>
      </w:r>
      <w:r w:rsidR="00733A94">
        <w:t xml:space="preserve"> l</w:t>
      </w:r>
      <w:r w:rsidR="00785BC1">
        <w:t>’</w:t>
      </w:r>
      <w:r w:rsidR="00733A94">
        <w:t>aurait reconnu</w:t>
      </w:r>
      <w:r w:rsidR="00D1643E">
        <w:t>.</w:t>
      </w:r>
    </w:p>
    <w:p w:rsidR="00047133" w:rsidRDefault="00D1643E" w:rsidP="009E2D52">
      <w:pPr>
        <w:pStyle w:val="JuPara"/>
      </w:pPr>
      <w:r>
        <w:fldChar w:fldCharType="begin"/>
      </w:r>
      <w:r>
        <w:instrText xml:space="preserve"> SEQ level0 \*arabic </w:instrText>
      </w:r>
      <w:r>
        <w:fldChar w:fldCharType="separate"/>
      </w:r>
      <w:r w:rsidR="00152465">
        <w:rPr>
          <w:noProof/>
        </w:rPr>
        <w:t>44</w:t>
      </w:r>
      <w:r>
        <w:fldChar w:fldCharType="end"/>
      </w:r>
      <w:r>
        <w:t xml:space="preserve">.  En tout état de cause, même </w:t>
      </w:r>
      <w:r w:rsidR="00CE5726">
        <w:t xml:space="preserve">si un </w:t>
      </w:r>
      <w:r>
        <w:t xml:space="preserve">but légitime </w:t>
      </w:r>
      <w:r w:rsidR="00CE5726">
        <w:t xml:space="preserve">était </w:t>
      </w:r>
      <w:r>
        <w:t>poursuivi, il y aurait disproportion entre ce but et les moyens employés, étant donné que l</w:t>
      </w:r>
      <w:r w:rsidR="00785BC1">
        <w:t>’</w:t>
      </w:r>
      <w:r>
        <w:t>unité de la famille pouvait être garantie par des mesures moins contraignantes,</w:t>
      </w:r>
      <w:r w:rsidR="006443A5">
        <w:t xml:space="preserve"> </w:t>
      </w:r>
      <w:r>
        <w:t>telle que l</w:t>
      </w:r>
      <w:r w:rsidR="00813920">
        <w:t xml:space="preserve">a simple </w:t>
      </w:r>
      <w:r>
        <w:t>obligation d</w:t>
      </w:r>
      <w:r w:rsidR="00785BC1">
        <w:t>’</w:t>
      </w:r>
      <w:r>
        <w:t>attribuer le même nom à tous les enfants d</w:t>
      </w:r>
      <w:r w:rsidR="00785BC1">
        <w:t>’</w:t>
      </w:r>
      <w:r>
        <w:t>un couple marié.</w:t>
      </w:r>
    </w:p>
    <w:p w:rsidR="00647E9B" w:rsidRDefault="00047133" w:rsidP="009E2D52">
      <w:pPr>
        <w:pStyle w:val="JuPara"/>
      </w:pPr>
      <w:r>
        <w:fldChar w:fldCharType="begin"/>
      </w:r>
      <w:r>
        <w:instrText xml:space="preserve"> SEQ level0 \*arabic </w:instrText>
      </w:r>
      <w:r>
        <w:fldChar w:fldCharType="separate"/>
      </w:r>
      <w:r w:rsidR="00152465">
        <w:rPr>
          <w:noProof/>
        </w:rPr>
        <w:t>45</w:t>
      </w:r>
      <w:r>
        <w:fldChar w:fldCharType="end"/>
      </w:r>
      <w:r>
        <w:t>.  Quant à l</w:t>
      </w:r>
      <w:r w:rsidR="00785BC1">
        <w:t>’</w:t>
      </w:r>
      <w:r>
        <w:t>argumen</w:t>
      </w:r>
      <w:r w:rsidR="00E970D7">
        <w:t>t du Gouvernement (paragraphe 51</w:t>
      </w:r>
      <w:r>
        <w:t xml:space="preserve"> ci-après) selon lequel l</w:t>
      </w:r>
      <w:r w:rsidR="00785BC1">
        <w:t>’</w:t>
      </w:r>
      <w:r>
        <w:t xml:space="preserve">attribution </w:t>
      </w:r>
      <w:r w:rsidR="00D1643E">
        <w:t xml:space="preserve">du nom de la mère </w:t>
      </w:r>
      <w:r>
        <w:t xml:space="preserve">aurait porté préjudice </w:t>
      </w:r>
      <w:r w:rsidR="00D1643E">
        <w:t>à Maddalena</w:t>
      </w:r>
      <w:r>
        <w:t xml:space="preserve">, les requérants ne voient pas pourquoi cette circonstance aurait dû priver le requérant </w:t>
      </w:r>
      <w:r w:rsidR="00D1643E">
        <w:t>de ses droits parentaux</w:t>
      </w:r>
      <w:r w:rsidR="007A4C8B">
        <w:t xml:space="preserve">. </w:t>
      </w:r>
      <w:r w:rsidR="004457D8">
        <w:t>À</w:t>
      </w:r>
      <w:r w:rsidR="007A4C8B">
        <w:t xml:space="preserve"> supposer même que tel eût pu être le cas, pareille </w:t>
      </w:r>
      <w:r w:rsidR="00D1643E">
        <w:t xml:space="preserve">conséquence </w:t>
      </w:r>
      <w:r w:rsidR="007A4C8B">
        <w:t xml:space="preserve">aurait selon eux été </w:t>
      </w:r>
      <w:r w:rsidR="00D1643E">
        <w:t>manifestement contraire à la Convention.</w:t>
      </w:r>
    </w:p>
    <w:p w:rsidR="002D70E0" w:rsidRDefault="00047133" w:rsidP="009E2D52">
      <w:pPr>
        <w:pStyle w:val="JuPara"/>
      </w:pPr>
      <w:r>
        <w:fldChar w:fldCharType="begin"/>
      </w:r>
      <w:r>
        <w:instrText xml:space="preserve"> SEQ level0 \*arabic </w:instrText>
      </w:r>
      <w:r>
        <w:fldChar w:fldCharType="separate"/>
      </w:r>
      <w:r w:rsidR="00152465">
        <w:rPr>
          <w:noProof/>
        </w:rPr>
        <w:t>46</w:t>
      </w:r>
      <w:r>
        <w:fldChar w:fldCharType="end"/>
      </w:r>
      <w:r>
        <w:t>.  </w:t>
      </w:r>
      <w:r w:rsidR="007129DC">
        <w:t>Les requérants soulignent également que si la Cour devait conclure à la violation de l</w:t>
      </w:r>
      <w:r w:rsidR="00785BC1">
        <w:t>’</w:t>
      </w:r>
      <w:r w:rsidR="007129DC">
        <w:t>article 14 de la Convention, il serait opportun d</w:t>
      </w:r>
      <w:r w:rsidR="00785BC1">
        <w:t>’</w:t>
      </w:r>
      <w:r w:rsidR="007129DC">
        <w:t>examiner la requête aussi sous l</w:t>
      </w:r>
      <w:r w:rsidR="00785BC1">
        <w:t>’</w:t>
      </w:r>
      <w:r w:rsidR="007129DC">
        <w:t>angle de l</w:t>
      </w:r>
      <w:r w:rsidR="00785BC1">
        <w:t>’</w:t>
      </w:r>
      <w:r w:rsidR="007129DC">
        <w:t xml:space="preserve">article 8 pris isolément, </w:t>
      </w:r>
      <w:r w:rsidR="006443A5">
        <w:t>puisqu</w:t>
      </w:r>
      <w:r w:rsidR="00785BC1">
        <w:t>’</w:t>
      </w:r>
      <w:r w:rsidR="007129DC">
        <w:t xml:space="preserve">aux termes de </w:t>
      </w:r>
      <w:r w:rsidR="006443A5">
        <w:t xml:space="preserve">celui-ci </w:t>
      </w:r>
      <w:r w:rsidR="007129DC">
        <w:t xml:space="preserve">toute ingérence </w:t>
      </w:r>
      <w:r w:rsidR="006443A5">
        <w:t xml:space="preserve">dans le domaine du </w:t>
      </w:r>
      <w:r w:rsidR="007129DC">
        <w:t xml:space="preserve">droit au respect de la vie privée et familiale doit être « prévue par la loi ». Or, </w:t>
      </w:r>
      <w:r w:rsidR="00AA1F51">
        <w:t xml:space="preserve">les juridictions internes ont </w:t>
      </w:r>
      <w:r w:rsidR="007A4C8B">
        <w:t xml:space="preserve">selon eux reconnu </w:t>
      </w:r>
      <w:r w:rsidR="00AA1F51">
        <w:t>que l</w:t>
      </w:r>
      <w:r w:rsidR="00785BC1">
        <w:t>’</w:t>
      </w:r>
      <w:r w:rsidR="00AA1F51">
        <w:t xml:space="preserve">attribution du nom du père ne </w:t>
      </w:r>
      <w:r w:rsidR="00E970D7">
        <w:t>se fondait</w:t>
      </w:r>
      <w:r w:rsidR="00AA1F51">
        <w:t xml:space="preserve"> sur aucune norme écrite. Selon la cour d</w:t>
      </w:r>
      <w:r w:rsidR="00785BC1">
        <w:t>’</w:t>
      </w:r>
      <w:r w:rsidR="00AA1F51">
        <w:t>appel, il s</w:t>
      </w:r>
      <w:r w:rsidR="00785BC1">
        <w:t>’</w:t>
      </w:r>
      <w:r w:rsidR="00AA1F51">
        <w:t>agissait d</w:t>
      </w:r>
      <w:r w:rsidR="00785BC1">
        <w:t>’</w:t>
      </w:r>
      <w:r w:rsidR="00AA1F51">
        <w:t>une coutume</w:t>
      </w:r>
      <w:r w:rsidR="00DA46A0">
        <w:t>. L</w:t>
      </w:r>
      <w:r w:rsidR="00AA1F51">
        <w:t>a Cour de cassation a</w:t>
      </w:r>
      <w:r w:rsidR="00DA46A0">
        <w:t>, elle,</w:t>
      </w:r>
      <w:r w:rsidR="00AA1F51">
        <w:t xml:space="preserve"> rejeté cette opinion, et </w:t>
      </w:r>
      <w:r w:rsidR="00DA46A0">
        <w:t>estimé</w:t>
      </w:r>
      <w:r w:rsidR="00AA1F51">
        <w:t xml:space="preserve"> que la règle </w:t>
      </w:r>
      <w:r w:rsidR="006443A5">
        <w:t xml:space="preserve">se dégageait </w:t>
      </w:r>
      <w:r w:rsidR="00AA1F51">
        <w:t>d</w:t>
      </w:r>
      <w:r w:rsidR="00785BC1">
        <w:t>’</w:t>
      </w:r>
      <w:r w:rsidR="00AA1F51">
        <w:t>une considération globale de plusieurs dispositions du système juridique italien. Les requérants ne partagent pas ce dernier avis et considèrent qu</w:t>
      </w:r>
      <w:r w:rsidR="00785BC1">
        <w:t>’</w:t>
      </w:r>
      <w:r w:rsidR="00AA1F51">
        <w:t>en l</w:t>
      </w:r>
      <w:r w:rsidR="00785BC1">
        <w:t>’</w:t>
      </w:r>
      <w:r w:rsidR="00AA1F51">
        <w:t>absence d</w:t>
      </w:r>
      <w:r w:rsidR="00785BC1">
        <w:t>’</w:t>
      </w:r>
      <w:r w:rsidR="00AA1F51">
        <w:t>une règle écrite précise, il s</w:t>
      </w:r>
      <w:r w:rsidR="00785BC1">
        <w:t>’</w:t>
      </w:r>
      <w:r w:rsidR="00AA1F51">
        <w:t xml:space="preserve">agissait </w:t>
      </w:r>
      <w:r w:rsidR="00DA46A0">
        <w:t xml:space="preserve">bien </w:t>
      </w:r>
      <w:r w:rsidR="00AA1F51">
        <w:t>d</w:t>
      </w:r>
      <w:r w:rsidR="00785BC1">
        <w:t>’</w:t>
      </w:r>
      <w:r w:rsidR="00AA1F51">
        <w:t>un</w:t>
      </w:r>
      <w:r w:rsidR="006443A5">
        <w:t>e</w:t>
      </w:r>
      <w:r w:rsidR="00AA1F51">
        <w:t xml:space="preserve"> </w:t>
      </w:r>
      <w:r w:rsidR="006443A5">
        <w:t xml:space="preserve">règle </w:t>
      </w:r>
      <w:r w:rsidR="00C10254">
        <w:t xml:space="preserve">de nature </w:t>
      </w:r>
      <w:r w:rsidR="00AA1F51">
        <w:t>coutumi</w:t>
      </w:r>
      <w:r w:rsidR="006443A5">
        <w:t>è</w:t>
      </w:r>
      <w:r w:rsidR="00AA1F51">
        <w:t>r</w:t>
      </w:r>
      <w:r w:rsidR="006443A5">
        <w:t>e</w:t>
      </w:r>
      <w:r w:rsidR="00AA1F51">
        <w:t>, que les juges internes aurai</w:t>
      </w:r>
      <w:r w:rsidR="00DD6BFB">
        <w:t>ent</w:t>
      </w:r>
      <w:r w:rsidR="00AA1F51">
        <w:t xml:space="preserve"> dû refuser d</w:t>
      </w:r>
      <w:r w:rsidR="00785BC1">
        <w:t>’</w:t>
      </w:r>
      <w:r w:rsidR="00AA1F51">
        <w:t xml:space="preserve">appliquer </w:t>
      </w:r>
      <w:r w:rsidR="00DD6BFB">
        <w:t>dès lors qu</w:t>
      </w:r>
      <w:r w:rsidR="00785BC1">
        <w:t>’</w:t>
      </w:r>
      <w:r w:rsidR="006443A5">
        <w:t>e</w:t>
      </w:r>
      <w:r w:rsidR="00DD6BFB">
        <w:t>l</w:t>
      </w:r>
      <w:r w:rsidR="006443A5">
        <w:t>le</w:t>
      </w:r>
      <w:r w:rsidR="00DD6BFB">
        <w:t xml:space="preserve"> était c</w:t>
      </w:r>
      <w:r w:rsidR="00AA1F51">
        <w:t>ontraire aux principes constitutionnels de l</w:t>
      </w:r>
      <w:r w:rsidR="00785BC1">
        <w:t>’</w:t>
      </w:r>
      <w:r w:rsidR="00AA1F51">
        <w:t>égalité des sexes et des époux. De plus, même si elle a implicitement adhéré à la re</w:t>
      </w:r>
      <w:r w:rsidR="006443A5">
        <w:t>fonda</w:t>
      </w:r>
      <w:r w:rsidR="00AA1F51">
        <w:t xml:space="preserve">tion </w:t>
      </w:r>
      <w:r w:rsidR="006443A5">
        <w:t xml:space="preserve">opérée par </w:t>
      </w:r>
      <w:r w:rsidR="00AA1F51">
        <w:t>la Cour de cassation</w:t>
      </w:r>
      <w:r w:rsidR="008E0AF5">
        <w:t xml:space="preserve"> et même si elle n</w:t>
      </w:r>
      <w:r w:rsidR="00785BC1">
        <w:t>’</w:t>
      </w:r>
      <w:r w:rsidR="008E0AF5">
        <w:t xml:space="preserve">a pas formellement procédé à son annulation, </w:t>
      </w:r>
      <w:r w:rsidR="00AA1F51">
        <w:t>la Cour constitutionnelle a clairement dit que la règle en question était contraire à la Constitution</w:t>
      </w:r>
      <w:r w:rsidR="008E0AF5">
        <w:t xml:space="preserve">, ce qui </w:t>
      </w:r>
      <w:r w:rsidR="006443A5">
        <w:t>rend</w:t>
      </w:r>
      <w:r w:rsidR="008E0AF5">
        <w:t xml:space="preserve">rait </w:t>
      </w:r>
      <w:r w:rsidR="003721B4">
        <w:t xml:space="preserve">selon eux </w:t>
      </w:r>
      <w:r w:rsidR="008E0AF5">
        <w:t>doute</w:t>
      </w:r>
      <w:r w:rsidR="006443A5">
        <w:t>u</w:t>
      </w:r>
      <w:r w:rsidR="008E0AF5">
        <w:t>s</w:t>
      </w:r>
      <w:r w:rsidR="006443A5">
        <w:t>e</w:t>
      </w:r>
      <w:r w:rsidR="008E0AF5">
        <w:t xml:space="preserve"> sa validité comme base légale justifiant une ingérence </w:t>
      </w:r>
      <w:r w:rsidR="006443A5">
        <w:t xml:space="preserve">dans </w:t>
      </w:r>
      <w:r w:rsidR="008E0AF5">
        <w:t>les droits fondamentaux de l</w:t>
      </w:r>
      <w:r w:rsidR="00785BC1">
        <w:t>’</w:t>
      </w:r>
      <w:r w:rsidR="008E0AF5">
        <w:t>individu</w:t>
      </w:r>
      <w:r w:rsidR="00AA1F51">
        <w:t>.</w:t>
      </w:r>
    </w:p>
    <w:p w:rsidR="007129DC" w:rsidRDefault="00AA1F51" w:rsidP="009E2D52">
      <w:pPr>
        <w:pStyle w:val="JuPara"/>
      </w:pPr>
      <w:r>
        <w:fldChar w:fldCharType="begin"/>
      </w:r>
      <w:r>
        <w:instrText xml:space="preserve"> SEQ level0 \*arabic </w:instrText>
      </w:r>
      <w:r>
        <w:fldChar w:fldCharType="separate"/>
      </w:r>
      <w:r w:rsidR="00152465">
        <w:rPr>
          <w:noProof/>
        </w:rPr>
        <w:t>47</w:t>
      </w:r>
      <w:r>
        <w:fldChar w:fldCharType="end"/>
      </w:r>
      <w:r>
        <w:t>.  Les requérants en déduisent que l</w:t>
      </w:r>
      <w:r w:rsidR="00785BC1">
        <w:t>’</w:t>
      </w:r>
      <w:r>
        <w:t>ingérence dénoncée n</w:t>
      </w:r>
      <w:r w:rsidR="00785BC1">
        <w:t>’</w:t>
      </w:r>
      <w:r>
        <w:t>était pas « prévue par la loi » au sens de l</w:t>
      </w:r>
      <w:r w:rsidR="00785BC1">
        <w:t>’</w:t>
      </w:r>
      <w:r>
        <w:t xml:space="preserve">article 8 de la Convention, car il manquait une disposition écrite </w:t>
      </w:r>
      <w:r w:rsidR="008E0AF5">
        <w:t>claire et prévisible, comme</w:t>
      </w:r>
      <w:r w:rsidR="00E970D7">
        <w:t xml:space="preserve"> le démontre</w:t>
      </w:r>
      <w:r w:rsidR="008E0AF5">
        <w:t xml:space="preserve"> l</w:t>
      </w:r>
      <w:r w:rsidR="006443A5">
        <w:t>a variété de</w:t>
      </w:r>
      <w:r w:rsidR="008E0AF5">
        <w:t>s approches suivies par les juridictions internes.</w:t>
      </w:r>
    </w:p>
    <w:p w:rsidR="00785BC1" w:rsidRDefault="008E0AF5" w:rsidP="009E2D52">
      <w:pPr>
        <w:pStyle w:val="JuPara"/>
      </w:pPr>
      <w:r>
        <w:fldChar w:fldCharType="begin"/>
      </w:r>
      <w:r>
        <w:instrText xml:space="preserve"> SEQ level0 \*arabic </w:instrText>
      </w:r>
      <w:r>
        <w:fldChar w:fldCharType="separate"/>
      </w:r>
      <w:r w:rsidR="00152465">
        <w:rPr>
          <w:noProof/>
        </w:rPr>
        <w:t>48</w:t>
      </w:r>
      <w:r>
        <w:fldChar w:fldCharType="end"/>
      </w:r>
      <w:r>
        <w:t xml:space="preserve">.  En </w:t>
      </w:r>
      <w:r w:rsidR="006443A5">
        <w:t>outre, et en tout état de cause</w:t>
      </w:r>
      <w:r>
        <w:t>, pour les raisons exposées ci</w:t>
      </w:r>
      <w:r w:rsidR="000F5F62">
        <w:noBreakHyphen/>
      </w:r>
      <w:r>
        <w:t>dessus, l</w:t>
      </w:r>
      <w:r w:rsidR="00785BC1">
        <w:t>’</w:t>
      </w:r>
      <w:r>
        <w:t>ingérence ne poursuivrait pas un but légitime et ne serait pas nécessaire dans une société démocratique.</w:t>
      </w:r>
    </w:p>
    <w:p w:rsidR="004E206A" w:rsidRPr="00110305" w:rsidRDefault="004E206A" w:rsidP="004E206A">
      <w:pPr>
        <w:pStyle w:val="JuHa0"/>
      </w:pPr>
      <w:r>
        <w:t>b)  Le Gouvernement</w:t>
      </w:r>
    </w:p>
    <w:p w:rsidR="00155E43" w:rsidRDefault="00110305" w:rsidP="00076451">
      <w:pPr>
        <w:pStyle w:val="JuPara"/>
      </w:pPr>
      <w:r w:rsidRPr="00110305">
        <w:fldChar w:fldCharType="begin"/>
      </w:r>
      <w:r w:rsidRPr="00110305">
        <w:instrText xml:space="preserve"> SEQ level0 \*arabic </w:instrText>
      </w:r>
      <w:r w:rsidRPr="00110305">
        <w:fldChar w:fldCharType="separate"/>
      </w:r>
      <w:r w:rsidR="00152465">
        <w:rPr>
          <w:noProof/>
        </w:rPr>
        <w:t>49</w:t>
      </w:r>
      <w:r w:rsidRPr="00110305">
        <w:fldChar w:fldCharType="end"/>
      </w:r>
      <w:r w:rsidR="00076451" w:rsidRPr="00110305">
        <w:t xml:space="preserve">.  Le Gouvernement </w:t>
      </w:r>
      <w:r w:rsidR="00906A91">
        <w:t xml:space="preserve">expose </w:t>
      </w:r>
      <w:r w:rsidR="00B71036">
        <w:t xml:space="preserve">que la demande des requérants visant à </w:t>
      </w:r>
      <w:r w:rsidR="0065292B">
        <w:t xml:space="preserve">ce que soit attribué </w:t>
      </w:r>
      <w:r w:rsidR="00B71036">
        <w:t xml:space="preserve">à leur fille mineure </w:t>
      </w:r>
      <w:r w:rsidR="0065292B">
        <w:t>exclusiv</w:t>
      </w:r>
      <w:r w:rsidR="00B71036">
        <w:t xml:space="preserve">ement le nom de </w:t>
      </w:r>
      <w:r w:rsidR="0065292B">
        <w:t>s</w:t>
      </w:r>
      <w:r w:rsidR="00B71036">
        <w:t xml:space="preserve">a mère </w:t>
      </w:r>
      <w:r w:rsidR="00906A91">
        <w:t>n</w:t>
      </w:r>
      <w:r w:rsidR="00785BC1">
        <w:t>’</w:t>
      </w:r>
      <w:r w:rsidR="00B71036">
        <w:t xml:space="preserve">a été rejetée </w:t>
      </w:r>
      <w:r w:rsidR="00906A91">
        <w:t xml:space="preserve">que parce que les autorités civiles </w:t>
      </w:r>
      <w:r w:rsidR="0016386D">
        <w:t>qui sont intervenues</w:t>
      </w:r>
      <w:r w:rsidR="00906A91">
        <w:t xml:space="preserve"> n</w:t>
      </w:r>
      <w:r w:rsidR="00785BC1">
        <w:t>’</w:t>
      </w:r>
      <w:r w:rsidR="00906A91">
        <w:t xml:space="preserve">avaient pas connaissance </w:t>
      </w:r>
      <w:r w:rsidR="00B71036">
        <w:t>du décret présidentiel n</w:t>
      </w:r>
      <w:r w:rsidR="0010731F" w:rsidRPr="0010731F">
        <w:rPr>
          <w:vertAlign w:val="superscript"/>
        </w:rPr>
        <w:t>o</w:t>
      </w:r>
      <w:r w:rsidR="00B71036">
        <w:t xml:space="preserve"> 396 du 3 novembre 2000</w:t>
      </w:r>
      <w:r w:rsidR="003721B4">
        <w:t xml:space="preserve"> –</w:t>
      </w:r>
      <w:r w:rsidR="00B71036">
        <w:t xml:space="preserve"> </w:t>
      </w:r>
      <w:r w:rsidR="00565B3C">
        <w:t xml:space="preserve">lequel prévoit </w:t>
      </w:r>
      <w:r w:rsidR="00B71036">
        <w:t xml:space="preserve">dans son article 84 que </w:t>
      </w:r>
      <w:r w:rsidR="007D268A">
        <w:t>to</w:t>
      </w:r>
      <w:r w:rsidR="00B71036">
        <w:t>u</w:t>
      </w:r>
      <w:r w:rsidR="007D268A">
        <w:t>t</w:t>
      </w:r>
      <w:r w:rsidR="00B71036">
        <w:t>e personne a la possibilité</w:t>
      </w:r>
      <w:r w:rsidR="007D268A">
        <w:t xml:space="preserve"> </w:t>
      </w:r>
      <w:r w:rsidR="00B71036">
        <w:t>d</w:t>
      </w:r>
      <w:r w:rsidR="00785BC1">
        <w:t>’</w:t>
      </w:r>
      <w:r w:rsidR="00B71036">
        <w:t xml:space="preserve">obtenir </w:t>
      </w:r>
      <w:r w:rsidR="007D268A">
        <w:t xml:space="preserve">un </w:t>
      </w:r>
      <w:r w:rsidR="00B71036">
        <w:t>changement d</w:t>
      </w:r>
      <w:r w:rsidR="007D268A">
        <w:t>e</w:t>
      </w:r>
      <w:r w:rsidR="00B71036">
        <w:t xml:space="preserve"> prénom ou d</w:t>
      </w:r>
      <w:r w:rsidR="007D268A">
        <w:t>e</w:t>
      </w:r>
      <w:r w:rsidR="00B71036">
        <w:t xml:space="preserve"> nom de famille pour des motifs justifiés</w:t>
      </w:r>
      <w:r w:rsidR="00E970D7">
        <w:t xml:space="preserve"> (paragraphe 26 ci-dessus)</w:t>
      </w:r>
      <w:r w:rsidR="00B71036">
        <w:t xml:space="preserve">. </w:t>
      </w:r>
      <w:r w:rsidR="00155E43">
        <w:t>Les requérants auraient par ailleurs</w:t>
      </w:r>
      <w:r w:rsidR="003721B4">
        <w:t xml:space="preserve"> selon lui</w:t>
      </w:r>
      <w:r w:rsidR="00155E43">
        <w:t xml:space="preserve"> pu adresser une telle demande directement au </w:t>
      </w:r>
      <w:r w:rsidR="007D268A">
        <w:t>p</w:t>
      </w:r>
      <w:r w:rsidR="00155E43">
        <w:t>réfet, au lieu de saisir les juridictions civiles.</w:t>
      </w:r>
    </w:p>
    <w:p w:rsidR="002D70E0" w:rsidRDefault="00155E43" w:rsidP="00076451">
      <w:pPr>
        <w:pStyle w:val="JuPara"/>
      </w:pPr>
      <w:r>
        <w:fldChar w:fldCharType="begin"/>
      </w:r>
      <w:r>
        <w:instrText xml:space="preserve"> SEQ level0 \*arabic </w:instrText>
      </w:r>
      <w:r>
        <w:fldChar w:fldCharType="separate"/>
      </w:r>
      <w:r w:rsidR="00152465">
        <w:rPr>
          <w:noProof/>
        </w:rPr>
        <w:t>50</w:t>
      </w:r>
      <w:r>
        <w:fldChar w:fldCharType="end"/>
      </w:r>
      <w:r>
        <w:t>.  </w:t>
      </w:r>
      <w:r w:rsidR="00565B3C">
        <w:t>Le Gouvernement estime que l</w:t>
      </w:r>
      <w:r>
        <w:t xml:space="preserve">a </w:t>
      </w:r>
      <w:r w:rsidR="000B0430">
        <w:t>C</w:t>
      </w:r>
      <w:r>
        <w:t>our de cassation et la Cour constitutionnelle ont examiné attentivement les allégations des requérants</w:t>
      </w:r>
      <w:r w:rsidR="00565B3C">
        <w:t>,</w:t>
      </w:r>
      <w:r>
        <w:t xml:space="preserve"> et </w:t>
      </w:r>
      <w:r w:rsidR="00565B3C">
        <w:t xml:space="preserve">observe que </w:t>
      </w:r>
      <w:r>
        <w:t>la Cour constitutionnelle a conclu qu</w:t>
      </w:r>
      <w:r w:rsidR="00785BC1">
        <w:t>’</w:t>
      </w:r>
      <w:r>
        <w:t xml:space="preserve">une intervention du législateur était nécessaire. </w:t>
      </w:r>
      <w:r w:rsidR="00565B3C">
        <w:t>Au demeurant,</w:t>
      </w:r>
      <w:r w:rsidR="005B2E31">
        <w:t xml:space="preserve"> </w:t>
      </w:r>
      <w:r w:rsidR="00565B3C">
        <w:t xml:space="preserve">il fait valoir que la </w:t>
      </w:r>
      <w:r w:rsidR="005B2E31">
        <w:t>possibilité de remplacer ou de compléter le</w:t>
      </w:r>
      <w:r>
        <w:t xml:space="preserve"> nom a</w:t>
      </w:r>
      <w:r w:rsidR="00565B3C">
        <w:t>vait déjà</w:t>
      </w:r>
      <w:r>
        <w:t xml:space="preserve"> été introduite par le décret présidentiel n</w:t>
      </w:r>
      <w:r w:rsidR="0010731F" w:rsidRPr="0010731F">
        <w:rPr>
          <w:vertAlign w:val="superscript"/>
        </w:rPr>
        <w:t>o</w:t>
      </w:r>
      <w:r>
        <w:t xml:space="preserve"> 396 de 200</w:t>
      </w:r>
      <w:r w:rsidR="003721B4">
        <w:t>0. C</w:t>
      </w:r>
      <w:r>
        <w:t xml:space="preserve">ette modification législative </w:t>
      </w:r>
      <w:r w:rsidR="00565B3C">
        <w:t>était, explique</w:t>
      </w:r>
      <w:r w:rsidR="000F5F62">
        <w:noBreakHyphen/>
      </w:r>
      <w:r w:rsidR="00565B3C">
        <w:t>t</w:t>
      </w:r>
      <w:r w:rsidR="000F5F62">
        <w:noBreakHyphen/>
      </w:r>
      <w:r w:rsidR="00565B3C">
        <w:t>il,</w:t>
      </w:r>
      <w:r w:rsidR="005B2E31">
        <w:t xml:space="preserve"> </w:t>
      </w:r>
      <w:r>
        <w:t xml:space="preserve">intervenue </w:t>
      </w:r>
      <w:r w:rsidR="007D268A">
        <w:t xml:space="preserve">en raison </w:t>
      </w:r>
      <w:r>
        <w:t xml:space="preserve">de décisions judiciaires internes qui </w:t>
      </w:r>
      <w:r w:rsidR="007D268A">
        <w:t>s</w:t>
      </w:r>
      <w:r w:rsidR="00785BC1">
        <w:t>’</w:t>
      </w:r>
      <w:r w:rsidR="007D268A">
        <w:t>étaie</w:t>
      </w:r>
      <w:r>
        <w:t>nt référ</w:t>
      </w:r>
      <w:r w:rsidR="007D268A">
        <w:t>é</w:t>
      </w:r>
      <w:r>
        <w:t>e</w:t>
      </w:r>
      <w:r w:rsidR="007D268A">
        <w:t>s</w:t>
      </w:r>
      <w:r>
        <w:t xml:space="preserve"> aux principes fondamentaux de l</w:t>
      </w:r>
      <w:r w:rsidR="00785BC1">
        <w:t>’</w:t>
      </w:r>
      <w:r>
        <w:t xml:space="preserve">ordre communautaire dans le cas de personnes ayant </w:t>
      </w:r>
      <w:r w:rsidR="00863F39">
        <w:t xml:space="preserve">une </w:t>
      </w:r>
      <w:r>
        <w:t>double nationalité</w:t>
      </w:r>
      <w:r w:rsidR="00863F39">
        <w:t> ;</w:t>
      </w:r>
      <w:r>
        <w:t xml:space="preserve"> </w:t>
      </w:r>
      <w:r w:rsidR="00863F39">
        <w:t xml:space="preserve">le </w:t>
      </w:r>
      <w:r>
        <w:t>Conseil d</w:t>
      </w:r>
      <w:r w:rsidR="00785BC1">
        <w:t>’</w:t>
      </w:r>
      <w:r w:rsidR="000F5F62">
        <w:t>État</w:t>
      </w:r>
      <w:r>
        <w:t xml:space="preserve"> </w:t>
      </w:r>
      <w:r w:rsidR="00863F39">
        <w:t xml:space="preserve">avait également </w:t>
      </w:r>
      <w:r>
        <w:t>autoris</w:t>
      </w:r>
      <w:r w:rsidR="00863F39">
        <w:t>é</w:t>
      </w:r>
      <w:r>
        <w:t xml:space="preserve"> le </w:t>
      </w:r>
      <w:r w:rsidR="00863F39">
        <w:t>remplac</w:t>
      </w:r>
      <w:r>
        <w:t xml:space="preserve">ement du nom du père </w:t>
      </w:r>
      <w:r w:rsidR="00186FB2">
        <w:t xml:space="preserve">par celui de la mère pour des raisons de reconnaissance envers le grand-père maternel. </w:t>
      </w:r>
      <w:r w:rsidR="00863F39">
        <w:t>Ce</w:t>
      </w:r>
      <w:r w:rsidR="00DB2503">
        <w:t> </w:t>
      </w:r>
      <w:r w:rsidR="003F5E6E">
        <w:t>faisant, l</w:t>
      </w:r>
      <w:r w:rsidR="00785BC1">
        <w:t>’</w:t>
      </w:r>
      <w:r w:rsidR="003F5E6E">
        <w:t xml:space="preserve">Italie a </w:t>
      </w:r>
      <w:r w:rsidR="00565B3C">
        <w:t xml:space="preserve">selon lui </w:t>
      </w:r>
      <w:r w:rsidR="003F5E6E">
        <w:t>tenu compte de l</w:t>
      </w:r>
      <w:r w:rsidR="00785BC1">
        <w:t>’</w:t>
      </w:r>
      <w:r w:rsidR="003F5E6E">
        <w:t>évolution de la société actuelle et de la protection des droits de l</w:t>
      </w:r>
      <w:r w:rsidR="00785BC1">
        <w:t>’</w:t>
      </w:r>
      <w:r w:rsidR="003F5E6E">
        <w:t xml:space="preserve">homme dans </w:t>
      </w:r>
      <w:r w:rsidR="003721B4">
        <w:t>ce domaine si</w:t>
      </w:r>
      <w:r w:rsidR="003F5E6E">
        <w:t xml:space="preserve"> délicat qu</w:t>
      </w:r>
      <w:r w:rsidR="00785BC1">
        <w:t>’</w:t>
      </w:r>
      <w:r w:rsidR="003721B4">
        <w:t>est</w:t>
      </w:r>
      <w:r w:rsidR="003F5E6E">
        <w:t xml:space="preserve"> </w:t>
      </w:r>
      <w:r w:rsidR="003721B4">
        <w:t xml:space="preserve">celui de </w:t>
      </w:r>
      <w:r w:rsidR="003F5E6E">
        <w:t xml:space="preserve">la famille. </w:t>
      </w:r>
      <w:r w:rsidR="00186FB2">
        <w:t>Le Gouvernement en déduit qu</w:t>
      </w:r>
      <w:r w:rsidR="00785BC1">
        <w:t>’</w:t>
      </w:r>
      <w:r w:rsidR="00186FB2">
        <w:t>il n</w:t>
      </w:r>
      <w:r w:rsidR="00785BC1">
        <w:t>’</w:t>
      </w:r>
      <w:r w:rsidR="00186FB2">
        <w:t>y a pas eu d</w:t>
      </w:r>
      <w:r w:rsidR="00785BC1">
        <w:t>’</w:t>
      </w:r>
      <w:r w:rsidR="00186FB2">
        <w:t>ingérence dans la vie privée et familiale des requérants</w:t>
      </w:r>
      <w:r w:rsidR="00863F39">
        <w:t>,</w:t>
      </w:r>
      <w:r w:rsidR="00186FB2">
        <w:t xml:space="preserve"> </w:t>
      </w:r>
      <w:r w:rsidR="00E970D7">
        <w:t xml:space="preserve">qui avaient à leur disposition </w:t>
      </w:r>
      <w:r w:rsidR="00186FB2">
        <w:t>u</w:t>
      </w:r>
      <w:r w:rsidR="00E97BB6">
        <w:t>n</w:t>
      </w:r>
      <w:r w:rsidR="00186FB2">
        <w:t xml:space="preserve"> recours eff</w:t>
      </w:r>
      <w:r w:rsidR="00863F39">
        <w:t>e</w:t>
      </w:r>
      <w:r w:rsidR="00186FB2">
        <w:t>c</w:t>
      </w:r>
      <w:r w:rsidR="00863F39">
        <w:t>tif</w:t>
      </w:r>
      <w:r w:rsidR="00186FB2">
        <w:t xml:space="preserve"> </w:t>
      </w:r>
      <w:r w:rsidR="00E97BB6">
        <w:t>devant le</w:t>
      </w:r>
      <w:r w:rsidR="00186FB2">
        <w:t xml:space="preserve"> </w:t>
      </w:r>
      <w:r w:rsidR="00863F39">
        <w:t>p</w:t>
      </w:r>
      <w:r w:rsidR="00186FB2">
        <w:t>réfet.</w:t>
      </w:r>
    </w:p>
    <w:p w:rsidR="00047133" w:rsidRDefault="00047133" w:rsidP="00047133">
      <w:pPr>
        <w:pStyle w:val="JuPara"/>
      </w:pPr>
      <w:r>
        <w:fldChar w:fldCharType="begin"/>
      </w:r>
      <w:r>
        <w:instrText xml:space="preserve"> SEQ level0 \*arabic </w:instrText>
      </w:r>
      <w:r>
        <w:fldChar w:fldCharType="separate"/>
      </w:r>
      <w:r w:rsidR="00152465">
        <w:rPr>
          <w:noProof/>
        </w:rPr>
        <w:t>51</w:t>
      </w:r>
      <w:r>
        <w:fldChar w:fldCharType="end"/>
      </w:r>
      <w:r>
        <w:t>.  </w:t>
      </w:r>
      <w:r w:rsidR="000B0430">
        <w:t xml:space="preserve">En tout état de cause, la procédure </w:t>
      </w:r>
      <w:r w:rsidR="00165D86">
        <w:t>de</w:t>
      </w:r>
      <w:r w:rsidR="000B0430">
        <w:t xml:space="preserve"> changement de nom doit </w:t>
      </w:r>
      <w:r w:rsidR="00565B3C">
        <w:t xml:space="preserve">selon le Gouvernement </w:t>
      </w:r>
      <w:r w:rsidR="000B0430">
        <w:t>ménager un juste équilibre entre</w:t>
      </w:r>
      <w:r w:rsidR="00165D86">
        <w:t>, d</w:t>
      </w:r>
      <w:r w:rsidR="00785BC1">
        <w:t>’</w:t>
      </w:r>
      <w:r w:rsidR="00165D86">
        <w:t>une part,</w:t>
      </w:r>
      <w:r w:rsidR="000B0430">
        <w:t xml:space="preserve"> </w:t>
      </w:r>
      <w:r w:rsidR="00165D86">
        <w:t>l</w:t>
      </w:r>
      <w:r w:rsidR="00785BC1">
        <w:t>’</w:t>
      </w:r>
      <w:r w:rsidR="00165D86">
        <w:t>intérêt public de</w:t>
      </w:r>
      <w:r w:rsidR="000B0430">
        <w:t xml:space="preserve"> </w:t>
      </w:r>
      <w:r w:rsidR="005D7431">
        <w:t>la détermination de l</w:t>
      </w:r>
      <w:r w:rsidR="00785BC1">
        <w:t>’</w:t>
      </w:r>
      <w:r w:rsidR="005D7431">
        <w:t>état civil des individus</w:t>
      </w:r>
      <w:r w:rsidR="000B0430">
        <w:t xml:space="preserve"> et</w:t>
      </w:r>
      <w:r w:rsidR="00165D86">
        <w:t>, d</w:t>
      </w:r>
      <w:r w:rsidR="00785BC1">
        <w:t>’</w:t>
      </w:r>
      <w:r w:rsidR="00165D86">
        <w:t>autre part,</w:t>
      </w:r>
      <w:r w:rsidR="000B0430">
        <w:t xml:space="preserve"> le droit à l</w:t>
      </w:r>
      <w:r w:rsidR="00785BC1">
        <w:t>’</w:t>
      </w:r>
      <w:r w:rsidR="000B0430">
        <w:t xml:space="preserve">identité personnelle, </w:t>
      </w:r>
      <w:r w:rsidR="00165D86">
        <w:t xml:space="preserve">en tant que </w:t>
      </w:r>
      <w:r w:rsidR="000B0430">
        <w:t xml:space="preserve">droit fondamental protégé par le </w:t>
      </w:r>
      <w:r w:rsidR="00E97BB6">
        <w:t>CC</w:t>
      </w:r>
      <w:r w:rsidR="000B0430">
        <w:t xml:space="preserve">. Cet équilibre serait assuré </w:t>
      </w:r>
      <w:r w:rsidR="00C17992">
        <w:t xml:space="preserve">à ses yeux </w:t>
      </w:r>
      <w:r w:rsidR="000B0430">
        <w:t>par les dispositions du décret présidentiel n</w:t>
      </w:r>
      <w:r w:rsidR="0010731F" w:rsidRPr="0010731F">
        <w:rPr>
          <w:vertAlign w:val="superscript"/>
        </w:rPr>
        <w:t>o</w:t>
      </w:r>
      <w:r w:rsidR="000B0430">
        <w:t xml:space="preserve"> 396 de 2000. </w:t>
      </w:r>
      <w:r w:rsidR="00B37EFF">
        <w:t xml:space="preserve">Si le nom de famille </w:t>
      </w:r>
      <w:r>
        <w:t xml:space="preserve">du père avait été </w:t>
      </w:r>
      <w:r w:rsidR="00863F39">
        <w:t xml:space="preserve">remplacé </w:t>
      </w:r>
      <w:r>
        <w:t xml:space="preserve">par celui de la mère, </w:t>
      </w:r>
      <w:r w:rsidR="00C17992">
        <w:t xml:space="preserve">précise le Gouvernement, </w:t>
      </w:r>
      <w:r>
        <w:t xml:space="preserve">il y aurait eu </w:t>
      </w:r>
      <w:r w:rsidR="001346BA">
        <w:t xml:space="preserve">entre les requérants </w:t>
      </w:r>
      <w:r>
        <w:t>une discrimination contraire à l</w:t>
      </w:r>
      <w:r w:rsidR="00785BC1">
        <w:t>’</w:t>
      </w:r>
      <w:r>
        <w:t xml:space="preserve">article 14 de la Convention. </w:t>
      </w:r>
      <w:r w:rsidR="00C17992">
        <w:t>Une</w:t>
      </w:r>
      <w:r>
        <w:t xml:space="preserve"> conséquence</w:t>
      </w:r>
      <w:r w:rsidR="00C17992">
        <w:t xml:space="preserve"> en aurait été</w:t>
      </w:r>
      <w:r>
        <w:t xml:space="preserve"> la non-reconnaissance de Maddalena</w:t>
      </w:r>
      <w:r w:rsidR="00CF4479">
        <w:t xml:space="preserve"> par son père</w:t>
      </w:r>
      <w:r w:rsidR="00E97BB6">
        <w:t>,</w:t>
      </w:r>
      <w:r>
        <w:t xml:space="preserve"> et la responsabilité la concernant aurait</w:t>
      </w:r>
      <w:r w:rsidR="00C17992">
        <w:t xml:space="preserve"> alors</w:t>
      </w:r>
      <w:r>
        <w:t xml:space="preserve"> pesé uniquement sur </w:t>
      </w:r>
      <w:r w:rsidR="00E97BB6">
        <w:t>la requérante</w:t>
      </w:r>
      <w:r>
        <w:t xml:space="preserve">. Le Gouvernement </w:t>
      </w:r>
      <w:r w:rsidR="00FE431E">
        <w:t xml:space="preserve">insiste </w:t>
      </w:r>
      <w:r>
        <w:t xml:space="preserve">à cet égard </w:t>
      </w:r>
      <w:r w:rsidR="00FE431E">
        <w:t xml:space="preserve">sur la nécessité pour </w:t>
      </w:r>
      <w:r>
        <w:t xml:space="preserve">les </w:t>
      </w:r>
      <w:r w:rsidR="00565B3C">
        <w:t xml:space="preserve">enfants </w:t>
      </w:r>
      <w:r w:rsidR="00FE431E">
        <w:t>d</w:t>
      </w:r>
      <w:r w:rsidR="00785BC1">
        <w:t>’</w:t>
      </w:r>
      <w:r>
        <w:t xml:space="preserve">avoir une identité personnelle et </w:t>
      </w:r>
      <w:r w:rsidR="00565B3C">
        <w:t>une situation</w:t>
      </w:r>
      <w:r>
        <w:t xml:space="preserve"> juridique sûr</w:t>
      </w:r>
      <w:r w:rsidR="00565B3C">
        <w:t>es</w:t>
      </w:r>
      <w:r>
        <w:t xml:space="preserve"> et vérifiable</w:t>
      </w:r>
      <w:r w:rsidR="00565B3C">
        <w:t>s</w:t>
      </w:r>
      <w:r>
        <w:t>.</w:t>
      </w:r>
    </w:p>
    <w:p w:rsidR="002D70E0" w:rsidRDefault="00047133" w:rsidP="00047133">
      <w:pPr>
        <w:pStyle w:val="JuPara"/>
      </w:pPr>
      <w:r>
        <w:fldChar w:fldCharType="begin"/>
      </w:r>
      <w:r>
        <w:instrText xml:space="preserve"> SEQ level0 \*arabic </w:instrText>
      </w:r>
      <w:r>
        <w:fldChar w:fldCharType="separate"/>
      </w:r>
      <w:r w:rsidR="00152465">
        <w:rPr>
          <w:noProof/>
        </w:rPr>
        <w:t>52</w:t>
      </w:r>
      <w:r>
        <w:fldChar w:fldCharType="end"/>
      </w:r>
      <w:r>
        <w:t xml:space="preserve">.  Selon le Gouvernement, le principe de non-discrimination doit être appliqué </w:t>
      </w:r>
      <w:r w:rsidR="00863F39">
        <w:t xml:space="preserve">aussi bien </w:t>
      </w:r>
      <w:r>
        <w:t>horizontalement que verticalement, c</w:t>
      </w:r>
      <w:r w:rsidR="00785BC1">
        <w:t>’</w:t>
      </w:r>
      <w:r>
        <w:t>est-à-dire entre les époux et à l</w:t>
      </w:r>
      <w:r w:rsidR="00785BC1">
        <w:t>’</w:t>
      </w:r>
      <w:r>
        <w:t xml:space="preserve">égard des </w:t>
      </w:r>
      <w:r w:rsidR="00863F39">
        <w:t>enfant</w:t>
      </w:r>
      <w:r>
        <w:t>s afin de garantir la jouissance des droits et libertés à toutes les personnes concernées</w:t>
      </w:r>
      <w:r w:rsidR="001346BA">
        <w:t> : f</w:t>
      </w:r>
      <w:r w:rsidR="00863F39">
        <w:t>aute pour l</w:t>
      </w:r>
      <w:r>
        <w:t xml:space="preserve">es requérants </w:t>
      </w:r>
      <w:r w:rsidR="00863F39">
        <w:t>d</w:t>
      </w:r>
      <w:r w:rsidR="00785BC1">
        <w:t>’</w:t>
      </w:r>
      <w:r w:rsidR="00863F39">
        <w:t xml:space="preserve">avoir pu donner des </w:t>
      </w:r>
      <w:r>
        <w:t>justifications objectives et raisonnables à leur demande de substitution d</w:t>
      </w:r>
      <w:r w:rsidR="00332AB1">
        <w:t>e</w:t>
      </w:r>
      <w:r>
        <w:t xml:space="preserve"> nom, </w:t>
      </w:r>
      <w:r w:rsidR="00332AB1">
        <w:t xml:space="preserve">y faire droit aurait provoqué </w:t>
      </w:r>
      <w:r>
        <w:t>une discrimination fondée sur le sexe entre les époux</w:t>
      </w:r>
      <w:r w:rsidR="00332AB1">
        <w:t>, de sorte que l</w:t>
      </w:r>
      <w:r w:rsidR="00785BC1">
        <w:t>’</w:t>
      </w:r>
      <w:r w:rsidR="00332AB1">
        <w:t>article 14 aurait alors été violé</w:t>
      </w:r>
      <w:r>
        <w:t>.</w:t>
      </w:r>
    </w:p>
    <w:p w:rsidR="00540CFD" w:rsidRDefault="00860253" w:rsidP="00860253">
      <w:pPr>
        <w:pStyle w:val="JuH1"/>
      </w:pPr>
      <w:r>
        <w:t>2.  Appréciation de la Cour</w:t>
      </w:r>
    </w:p>
    <w:p w:rsidR="00860253" w:rsidRDefault="00540CFD" w:rsidP="00540CFD">
      <w:pPr>
        <w:pStyle w:val="JuPara"/>
      </w:pPr>
      <w:r>
        <w:fldChar w:fldCharType="begin"/>
      </w:r>
      <w:r>
        <w:instrText xml:space="preserve"> SEQ level0 \*arabic </w:instrText>
      </w:r>
      <w:r>
        <w:fldChar w:fldCharType="separate"/>
      </w:r>
      <w:r w:rsidR="00152465">
        <w:rPr>
          <w:noProof/>
        </w:rPr>
        <w:t>53</w:t>
      </w:r>
      <w:r>
        <w:fldChar w:fldCharType="end"/>
      </w:r>
      <w:r>
        <w:t>.  La Cour estime que le grief des requérants se prête à être examiné tout d</w:t>
      </w:r>
      <w:r w:rsidR="00785BC1">
        <w:t>’</w:t>
      </w:r>
      <w:r>
        <w:t>abord sous l</w:t>
      </w:r>
      <w:r w:rsidR="00785BC1">
        <w:t>’</w:t>
      </w:r>
      <w:r>
        <w:t>angle de l</w:t>
      </w:r>
      <w:r w:rsidR="00785BC1">
        <w:t>’</w:t>
      </w:r>
      <w:r>
        <w:t>article 14 de la Convention, combiné avec l</w:t>
      </w:r>
      <w:r w:rsidR="00785BC1">
        <w:t>’</w:t>
      </w:r>
      <w:r>
        <w:t>article 8.</w:t>
      </w:r>
    </w:p>
    <w:p w:rsidR="00785142" w:rsidRDefault="00785142" w:rsidP="00785142">
      <w:pPr>
        <w:pStyle w:val="JuHa0"/>
      </w:pPr>
      <w:r>
        <w:t>a)  Sur l</w:t>
      </w:r>
      <w:r w:rsidR="00785BC1">
        <w:t>’</w:t>
      </w:r>
      <w:r>
        <w:t>applicabilité de l</w:t>
      </w:r>
      <w:r w:rsidR="00785BC1">
        <w:t>’</w:t>
      </w:r>
      <w:r>
        <w:t>article 14 de la Convention combiné avec l</w:t>
      </w:r>
      <w:r w:rsidR="00785BC1">
        <w:t>’</w:t>
      </w:r>
      <w:r>
        <w:t>article 8</w:t>
      </w:r>
    </w:p>
    <w:p w:rsidR="00785142" w:rsidRDefault="00785142" w:rsidP="00785142">
      <w:pPr>
        <w:pStyle w:val="JuPara"/>
      </w:pPr>
      <w:r>
        <w:fldChar w:fldCharType="begin"/>
      </w:r>
      <w:r>
        <w:instrText xml:space="preserve"> SEQ level0 \*arabic </w:instrText>
      </w:r>
      <w:r>
        <w:fldChar w:fldCharType="separate"/>
      </w:r>
      <w:r w:rsidR="00152465">
        <w:rPr>
          <w:noProof/>
        </w:rPr>
        <w:t>54</w:t>
      </w:r>
      <w:r>
        <w:fldChar w:fldCharType="end"/>
      </w:r>
      <w:r>
        <w:t>.  Comme la Cour l</w:t>
      </w:r>
      <w:r w:rsidR="00785BC1">
        <w:t>’</w:t>
      </w:r>
      <w:r>
        <w:t>a constamment déclaré, l</w:t>
      </w:r>
      <w:r w:rsidR="00785BC1">
        <w:t>’</w:t>
      </w:r>
      <w:r>
        <w:t>article 14 de la Convention complète les autres clauses normatives de la Convention et de</w:t>
      </w:r>
      <w:r w:rsidR="00332AB1">
        <w:t xml:space="preserve"> se</w:t>
      </w:r>
      <w:r>
        <w:t>s Protocoles. Il n</w:t>
      </w:r>
      <w:r w:rsidR="00785BC1">
        <w:t>’</w:t>
      </w:r>
      <w:r>
        <w:t>a pas d</w:t>
      </w:r>
      <w:r w:rsidR="00785BC1">
        <w:t>’</w:t>
      </w:r>
      <w:r>
        <w:t>existence indépendante, puisqu</w:t>
      </w:r>
      <w:r w:rsidR="00785BC1">
        <w:t>’</w:t>
      </w:r>
      <w:r>
        <w:t xml:space="preserve">il vaut uniquement pour </w:t>
      </w:r>
      <w:r w:rsidR="00332AB1">
        <w:t>« </w:t>
      </w:r>
      <w:r>
        <w:t>la jouissance des droits et libertés</w:t>
      </w:r>
      <w:r w:rsidR="00332AB1">
        <w:t> »</w:t>
      </w:r>
      <w:r>
        <w:t xml:space="preserve"> qu</w:t>
      </w:r>
      <w:r w:rsidR="00785BC1">
        <w:t>’</w:t>
      </w:r>
      <w:r>
        <w:t>elles garantissent. Certes, il peut entrer en jeu même sans un manquement à leurs exigences et, dans cette mesure, il possède une portée autonome, mais il ne saurait trouver à s</w:t>
      </w:r>
      <w:r w:rsidR="00785BC1">
        <w:t>’</w:t>
      </w:r>
      <w:r>
        <w:t>appliquer si les faits du litige ne tombent pas sous l</w:t>
      </w:r>
      <w:r w:rsidR="00785BC1">
        <w:t>’</w:t>
      </w:r>
      <w:r>
        <w:t>empire de l</w:t>
      </w:r>
      <w:r w:rsidR="00785BC1">
        <w:t>’</w:t>
      </w:r>
      <w:r>
        <w:t>une au moins desdites clauses (voir, parmi beaucoup d</w:t>
      </w:r>
      <w:r w:rsidR="00785BC1">
        <w:t>’</w:t>
      </w:r>
      <w:r>
        <w:t xml:space="preserve">autres, </w:t>
      </w:r>
      <w:r w:rsidRPr="00785142">
        <w:rPr>
          <w:i/>
        </w:rPr>
        <w:t>Van Raalte c. Pays-Bas</w:t>
      </w:r>
      <w:r>
        <w:t xml:space="preserve">, 21 février 1997, § 33, </w:t>
      </w:r>
      <w:r w:rsidRPr="00785142">
        <w:rPr>
          <w:i/>
        </w:rPr>
        <w:t>Recueil</w:t>
      </w:r>
      <w:r>
        <w:t xml:space="preserve"> 1997-I ; </w:t>
      </w:r>
      <w:r w:rsidRPr="00785142">
        <w:rPr>
          <w:i/>
        </w:rPr>
        <w:t>Petrovic c.</w:t>
      </w:r>
      <w:r w:rsidR="00DB2503">
        <w:rPr>
          <w:i/>
        </w:rPr>
        <w:t> </w:t>
      </w:r>
      <w:r w:rsidRPr="00785142">
        <w:rPr>
          <w:i/>
        </w:rPr>
        <w:t>Autriche</w:t>
      </w:r>
      <w:r>
        <w:t xml:space="preserve">, 27 mars 1998, § 22, </w:t>
      </w:r>
      <w:r w:rsidRPr="00785142">
        <w:rPr>
          <w:i/>
        </w:rPr>
        <w:t>Recueil</w:t>
      </w:r>
      <w:r>
        <w:t xml:space="preserve"> 1998-II ; et </w:t>
      </w:r>
      <w:r>
        <w:rPr>
          <w:i/>
        </w:rPr>
        <w:t>Zarb Adami c. Malte</w:t>
      </w:r>
      <w:r>
        <w:t>, n</w:t>
      </w:r>
      <w:r w:rsidR="0010731F" w:rsidRPr="0010731F">
        <w:rPr>
          <w:vertAlign w:val="superscript"/>
        </w:rPr>
        <w:t>o</w:t>
      </w:r>
      <w:r w:rsidR="004D27F5">
        <w:t> </w:t>
      </w:r>
      <w:r>
        <w:t>17209/02, § 42, CEDH 2006-VIII).</w:t>
      </w:r>
    </w:p>
    <w:p w:rsidR="002D70E0" w:rsidRDefault="00785142" w:rsidP="00785142">
      <w:pPr>
        <w:pStyle w:val="JuPara"/>
      </w:pPr>
      <w:r>
        <w:fldChar w:fldCharType="begin"/>
      </w:r>
      <w:r>
        <w:instrText xml:space="preserve"> SEQ level0 \*arabic </w:instrText>
      </w:r>
      <w:r>
        <w:fldChar w:fldCharType="separate"/>
      </w:r>
      <w:r w:rsidR="00152465">
        <w:rPr>
          <w:noProof/>
        </w:rPr>
        <w:t>55</w:t>
      </w:r>
      <w:r>
        <w:fldChar w:fldCharType="end"/>
      </w:r>
      <w:r>
        <w:t>.  La Cour rappelle que l</w:t>
      </w:r>
      <w:r w:rsidR="00785BC1">
        <w:t>’</w:t>
      </w:r>
      <w:r>
        <w:t>article 8 de la Convention ne contient pas de disposition explicite en matière de nom, mais qu</w:t>
      </w:r>
      <w:r w:rsidR="00785BC1">
        <w:t>’</w:t>
      </w:r>
      <w:r>
        <w:t>en tant que moyen</w:t>
      </w:r>
      <w:r w:rsidR="00603E78">
        <w:t xml:space="preserve"> déterminant</w:t>
      </w:r>
      <w:r>
        <w:t xml:space="preserve"> d</w:t>
      </w:r>
      <w:r w:rsidR="00785BC1">
        <w:t>’</w:t>
      </w:r>
      <w:r>
        <w:t xml:space="preserve">identification personnelle </w:t>
      </w:r>
      <w:r w:rsidR="009C4AEB">
        <w:t>(</w:t>
      </w:r>
      <w:r w:rsidR="00603E78">
        <w:rPr>
          <w:i/>
        </w:rPr>
        <w:t>Johansson c. Finlande</w:t>
      </w:r>
      <w:r w:rsidR="00603E78">
        <w:t>, n</w:t>
      </w:r>
      <w:r w:rsidR="0010731F" w:rsidRPr="0010731F">
        <w:rPr>
          <w:vertAlign w:val="superscript"/>
        </w:rPr>
        <w:t>o</w:t>
      </w:r>
      <w:r w:rsidR="00603E78">
        <w:t xml:space="preserve"> 10163/02, § 37, </w:t>
      </w:r>
      <w:r w:rsidR="000A0287">
        <w:t>6 septembre</w:t>
      </w:r>
      <w:r w:rsidR="00603E78">
        <w:t xml:space="preserve"> 2007, et</w:t>
      </w:r>
      <w:r w:rsidR="00603E78">
        <w:rPr>
          <w:i/>
        </w:rPr>
        <w:t xml:space="preserve"> </w:t>
      </w:r>
      <w:r w:rsidR="009C4AEB">
        <w:rPr>
          <w:i/>
        </w:rPr>
        <w:t>Daróczy c. Hongrie</w:t>
      </w:r>
      <w:r w:rsidR="007E7F70">
        <w:t>, n</w:t>
      </w:r>
      <w:r w:rsidR="0010731F" w:rsidRPr="0010731F">
        <w:rPr>
          <w:vertAlign w:val="superscript"/>
        </w:rPr>
        <w:t>o</w:t>
      </w:r>
      <w:r w:rsidR="007E7F70">
        <w:t xml:space="preserve"> 44378/05, § 26, 1</w:t>
      </w:r>
      <w:r w:rsidR="007E7F70" w:rsidRPr="007E7F70">
        <w:rPr>
          <w:vertAlign w:val="superscript"/>
        </w:rPr>
        <w:t>er</w:t>
      </w:r>
      <w:r w:rsidR="007E7F70">
        <w:rPr>
          <w:vertAlign w:val="superscript"/>
        </w:rPr>
        <w:t> </w:t>
      </w:r>
      <w:r w:rsidR="007E7F70">
        <w:t>juillet 2008</w:t>
      </w:r>
      <w:r w:rsidR="009C4AEB">
        <w:t xml:space="preserve">) </w:t>
      </w:r>
      <w:r>
        <w:t>et de rattachement à une famille, le nom d</w:t>
      </w:r>
      <w:r w:rsidR="00785BC1">
        <w:t>’</w:t>
      </w:r>
      <w:r>
        <w:t>une personne n</w:t>
      </w:r>
      <w:r w:rsidR="00785BC1">
        <w:t>’</w:t>
      </w:r>
      <w:r>
        <w:t>en concerne pas moins la vie privée et familiale de celle-ci. Que l</w:t>
      </w:r>
      <w:r w:rsidR="00785BC1">
        <w:t>’</w:t>
      </w:r>
      <w:r>
        <w:t>Etat et la société aient intérêt à en réglementer l</w:t>
      </w:r>
      <w:r w:rsidR="00785BC1">
        <w:t>’</w:t>
      </w:r>
      <w:r>
        <w:t>usage ne suffit pas po</w:t>
      </w:r>
      <w:r w:rsidR="00D877DA">
        <w:t xml:space="preserve">ur exclure la question du nom </w:t>
      </w:r>
      <w:r w:rsidR="00CF4479">
        <w:t xml:space="preserve">des </w:t>
      </w:r>
      <w:r>
        <w:t>personne</w:t>
      </w:r>
      <w:r w:rsidR="00CF4479">
        <w:t>s</w:t>
      </w:r>
      <w:r>
        <w:t xml:space="preserve"> du domaine de la vie privée et familiale, conçue comme englobant, dans une certaine mesure, le droit pour l</w:t>
      </w:r>
      <w:r w:rsidR="00785BC1">
        <w:t>’</w:t>
      </w:r>
      <w:r>
        <w:t>individu de nouer des relations avec ses semblables (</w:t>
      </w:r>
      <w:r w:rsidRPr="000474B6">
        <w:rPr>
          <w:i/>
        </w:rPr>
        <w:t>Burghartz</w:t>
      </w:r>
      <w:r>
        <w:t xml:space="preserve">, </w:t>
      </w:r>
      <w:r w:rsidR="00332AB1">
        <w:t>précité</w:t>
      </w:r>
      <w:r>
        <w:t>, §</w:t>
      </w:r>
      <w:r w:rsidR="00332AB1">
        <w:t> </w:t>
      </w:r>
      <w:r>
        <w:t xml:space="preserve">24 ; </w:t>
      </w:r>
      <w:r>
        <w:rPr>
          <w:i/>
        </w:rPr>
        <w:t>Stjerna</w:t>
      </w:r>
      <w:r>
        <w:t xml:space="preserve">, </w:t>
      </w:r>
      <w:r w:rsidR="00332AB1">
        <w:t>précité</w:t>
      </w:r>
      <w:r>
        <w:t>, § 37 ;</w:t>
      </w:r>
      <w:r w:rsidRPr="000474B6">
        <w:rPr>
          <w:i/>
        </w:rPr>
        <w:t xml:space="preserve"> Ünal Tekeli</w:t>
      </w:r>
      <w:r>
        <w:t xml:space="preserve">, </w:t>
      </w:r>
      <w:r w:rsidR="00332AB1">
        <w:t>précité</w:t>
      </w:r>
      <w:r>
        <w:t>, § 42, CEDH 2004</w:t>
      </w:r>
      <w:r>
        <w:noBreakHyphen/>
        <w:t xml:space="preserve">X ; </w:t>
      </w:r>
      <w:r>
        <w:rPr>
          <w:i/>
        </w:rPr>
        <w:t>Losonci Rose et Rose c. Suisse</w:t>
      </w:r>
      <w:r>
        <w:t>, n</w:t>
      </w:r>
      <w:r w:rsidR="0010731F" w:rsidRPr="0010731F">
        <w:rPr>
          <w:vertAlign w:val="superscript"/>
        </w:rPr>
        <w:t>o</w:t>
      </w:r>
      <w:r>
        <w:t xml:space="preserve"> 664/06, § 26, 9</w:t>
      </w:r>
      <w:r w:rsidR="002B477D">
        <w:t> </w:t>
      </w:r>
      <w:r>
        <w:t>novembre 2010</w:t>
      </w:r>
      <w:r w:rsidR="002B477D">
        <w:t xml:space="preserve"> ; </w:t>
      </w:r>
      <w:r w:rsidR="002B477D" w:rsidRPr="00D165AE">
        <w:rPr>
          <w:i/>
        </w:rPr>
        <w:t>Garnaga c. U</w:t>
      </w:r>
      <w:r w:rsidR="002B477D">
        <w:rPr>
          <w:i/>
        </w:rPr>
        <w:t>kraine</w:t>
      </w:r>
      <w:r w:rsidR="002B477D" w:rsidRPr="00D165AE">
        <w:t xml:space="preserve">, </w:t>
      </w:r>
      <w:r w:rsidR="002B477D">
        <w:t>n</w:t>
      </w:r>
      <w:r w:rsidR="0010731F" w:rsidRPr="0010731F">
        <w:rPr>
          <w:vertAlign w:val="superscript"/>
        </w:rPr>
        <w:t>o</w:t>
      </w:r>
      <w:r w:rsidR="002B477D" w:rsidRPr="00D165AE">
        <w:t> 20390/07</w:t>
      </w:r>
      <w:r w:rsidR="002B477D">
        <w:t>, § 36, 16 mai 2013</w:t>
      </w:r>
      <w:r>
        <w:t>).</w:t>
      </w:r>
    </w:p>
    <w:p w:rsidR="002521BD" w:rsidRDefault="002521BD" w:rsidP="00785142">
      <w:pPr>
        <w:pStyle w:val="JuPara"/>
      </w:pPr>
      <w:r>
        <w:fldChar w:fldCharType="begin"/>
      </w:r>
      <w:r>
        <w:instrText xml:space="preserve"> SEQ level0 \*arabic </w:instrText>
      </w:r>
      <w:r>
        <w:fldChar w:fldCharType="separate"/>
      </w:r>
      <w:r w:rsidR="00152465">
        <w:rPr>
          <w:noProof/>
        </w:rPr>
        <w:t>56</w:t>
      </w:r>
      <w:r>
        <w:fldChar w:fldCharType="end"/>
      </w:r>
      <w:r>
        <w:t>.  En l</w:t>
      </w:r>
      <w:r w:rsidR="00785BC1">
        <w:t>’</w:t>
      </w:r>
      <w:r>
        <w:t>espèce, les requérants, en tant que parents de Maddalena, étaient titulaires d</w:t>
      </w:r>
      <w:r w:rsidR="00785BC1">
        <w:t>’</w:t>
      </w:r>
      <w:r>
        <w:t xml:space="preserve">un intérêt clair et se rattachant à un droit strictement personnel à intervenir dans le processus </w:t>
      </w:r>
      <w:r w:rsidR="00CF4479">
        <w:t xml:space="preserve">de détermination </w:t>
      </w:r>
      <w:r>
        <w:t xml:space="preserve">du nom de famille de leur nouveau-né. Les juridictions internes leur ont par ailleurs constamment reconnu </w:t>
      </w:r>
      <w:r w:rsidRPr="002521BD">
        <w:rPr>
          <w:i/>
        </w:rPr>
        <w:t>locus standi</w:t>
      </w:r>
      <w:r>
        <w:t xml:space="preserve"> dans la procédure relative </w:t>
      </w:r>
      <w:r w:rsidR="00E92886">
        <w:t>à la contestation du refus d</w:t>
      </w:r>
      <w:r w:rsidR="00785BC1">
        <w:t>’</w:t>
      </w:r>
      <w:r w:rsidR="00E92886">
        <w:t>attribuer à Maddalena le nom de sa mère.</w:t>
      </w:r>
      <w:r>
        <w:t xml:space="preserve"> </w:t>
      </w:r>
      <w:r w:rsidR="007E7F70">
        <w:t xml:space="preserve">Il </w:t>
      </w:r>
      <w:r w:rsidR="00603E78">
        <w:t xml:space="preserve">convient également de rappeler que la Cour a </w:t>
      </w:r>
      <w:r w:rsidR="00D877DA">
        <w:t>affirmé</w:t>
      </w:r>
      <w:r w:rsidR="00603E78">
        <w:t xml:space="preserve"> </w:t>
      </w:r>
      <w:r w:rsidR="00603E78" w:rsidRPr="00554CED">
        <w:rPr>
          <w:lang w:eastAsia="en-US"/>
        </w:rPr>
        <w:t>que le choix du prénom de l</w:t>
      </w:r>
      <w:r w:rsidR="00785BC1">
        <w:rPr>
          <w:lang w:eastAsia="en-US"/>
        </w:rPr>
        <w:t>’</w:t>
      </w:r>
      <w:r w:rsidR="00603E78" w:rsidRPr="00554CED">
        <w:rPr>
          <w:lang w:eastAsia="en-US"/>
        </w:rPr>
        <w:t>enfant par ses parents entre dans la sphère privée de ces derniers</w:t>
      </w:r>
      <w:r w:rsidR="00603E78">
        <w:t xml:space="preserve"> (voir, notamment, </w:t>
      </w:r>
      <w:r w:rsidR="00603E78" w:rsidRPr="00554CED">
        <w:rPr>
          <w:i/>
          <w:lang w:eastAsia="en-US"/>
        </w:rPr>
        <w:t xml:space="preserve">Guillot c. </w:t>
      </w:r>
      <w:r w:rsidR="00603E78">
        <w:rPr>
          <w:i/>
          <w:lang w:eastAsia="en-US"/>
        </w:rPr>
        <w:t>France</w:t>
      </w:r>
      <w:r w:rsidR="00603E78">
        <w:rPr>
          <w:lang w:eastAsia="en-US"/>
        </w:rPr>
        <w:t xml:space="preserve">, </w:t>
      </w:r>
      <w:r w:rsidR="00603E78" w:rsidRPr="00554CED">
        <w:rPr>
          <w:lang w:eastAsia="en-US"/>
        </w:rPr>
        <w:t>24</w:t>
      </w:r>
      <w:r w:rsidR="00603E78">
        <w:rPr>
          <w:lang w:eastAsia="en-US"/>
        </w:rPr>
        <w:t xml:space="preserve"> </w:t>
      </w:r>
      <w:r w:rsidR="00603E78" w:rsidRPr="00554CED">
        <w:rPr>
          <w:lang w:eastAsia="en-US"/>
        </w:rPr>
        <w:t xml:space="preserve">octobre 1996, § 22, </w:t>
      </w:r>
      <w:r w:rsidR="00603E78" w:rsidRPr="00554CED">
        <w:rPr>
          <w:i/>
          <w:lang w:eastAsia="en-US"/>
        </w:rPr>
        <w:t xml:space="preserve">Recueil </w:t>
      </w:r>
      <w:r w:rsidR="00603E78" w:rsidRPr="00554CED">
        <w:rPr>
          <w:lang w:eastAsia="en-US"/>
        </w:rPr>
        <w:t>1996</w:t>
      </w:r>
      <w:r w:rsidR="00603E78">
        <w:rPr>
          <w:lang w:eastAsia="en-US"/>
        </w:rPr>
        <w:t>-</w:t>
      </w:r>
      <w:r w:rsidR="00603E78" w:rsidRPr="00554CED">
        <w:rPr>
          <w:lang w:eastAsia="en-US"/>
        </w:rPr>
        <w:t>V</w:t>
      </w:r>
      <w:r w:rsidR="00603E78">
        <w:rPr>
          <w:lang w:eastAsia="en-US"/>
        </w:rPr>
        <w:t xml:space="preserve">, et </w:t>
      </w:r>
      <w:r w:rsidR="00603E78">
        <w:rPr>
          <w:i/>
        </w:rPr>
        <w:t>Johansson</w:t>
      </w:r>
      <w:r w:rsidR="00603E78">
        <w:t>, précité, §</w:t>
      </w:r>
      <w:r w:rsidR="00D877DA">
        <w:t> </w:t>
      </w:r>
      <w:r w:rsidR="00603E78">
        <w:t>28).</w:t>
      </w:r>
      <w:r w:rsidR="00D877DA">
        <w:t xml:space="preserve"> Il en va de même en ce qui concerne le nom de famille.</w:t>
      </w:r>
    </w:p>
    <w:p w:rsidR="00785142" w:rsidRDefault="00785142" w:rsidP="00785142">
      <w:pPr>
        <w:pStyle w:val="JuPara"/>
      </w:pPr>
      <w:r>
        <w:fldChar w:fldCharType="begin"/>
      </w:r>
      <w:r>
        <w:instrText xml:space="preserve"> SEQ level0 \*arabic </w:instrText>
      </w:r>
      <w:r>
        <w:fldChar w:fldCharType="separate"/>
      </w:r>
      <w:r w:rsidR="00152465">
        <w:rPr>
          <w:noProof/>
        </w:rPr>
        <w:t>57</w:t>
      </w:r>
      <w:r>
        <w:fldChar w:fldCharType="end"/>
      </w:r>
      <w:r>
        <w:t>.  L</w:t>
      </w:r>
      <w:r w:rsidR="00785BC1">
        <w:t>’</w:t>
      </w:r>
      <w:r>
        <w:t xml:space="preserve">objet de la requête </w:t>
      </w:r>
      <w:r w:rsidR="004F0FD8">
        <w:t>en</w:t>
      </w:r>
      <w:r>
        <w:t>t</w:t>
      </w:r>
      <w:r w:rsidR="004F0FD8">
        <w:t>r</w:t>
      </w:r>
      <w:r>
        <w:t>e donc dans le champ d</w:t>
      </w:r>
      <w:r w:rsidR="00785BC1">
        <w:t>’</w:t>
      </w:r>
      <w:r>
        <w:t>application de l</w:t>
      </w:r>
      <w:r w:rsidR="00785BC1">
        <w:t>’</w:t>
      </w:r>
      <w:r>
        <w:t>article 8 de la Convention. L</w:t>
      </w:r>
      <w:r w:rsidR="00785BC1">
        <w:t>’</w:t>
      </w:r>
      <w:r>
        <w:t>article 14 trouve d</w:t>
      </w:r>
      <w:r w:rsidR="002521BD">
        <w:t>ès lors</w:t>
      </w:r>
      <w:r>
        <w:t xml:space="preserve"> à s</w:t>
      </w:r>
      <w:r w:rsidR="00785BC1">
        <w:t>’</w:t>
      </w:r>
      <w:r>
        <w:t>appliquer.</w:t>
      </w:r>
    </w:p>
    <w:p w:rsidR="00785142" w:rsidRDefault="00785142" w:rsidP="00785142">
      <w:pPr>
        <w:pStyle w:val="JuHa0"/>
      </w:pPr>
      <w:r>
        <w:t>b)  Sur l</w:t>
      </w:r>
      <w:r w:rsidR="00785BC1">
        <w:t>’</w:t>
      </w:r>
      <w:r>
        <w:t>observation de l</w:t>
      </w:r>
      <w:r w:rsidR="00785BC1">
        <w:t>’</w:t>
      </w:r>
      <w:r>
        <w:t>article 14 de la Convention combiné avec l</w:t>
      </w:r>
      <w:r w:rsidR="00785BC1">
        <w:t>’</w:t>
      </w:r>
      <w:r>
        <w:t>article 8</w:t>
      </w:r>
    </w:p>
    <w:p w:rsidR="00D344F9" w:rsidRDefault="00D344F9" w:rsidP="00D344F9">
      <w:pPr>
        <w:pStyle w:val="JuHi"/>
      </w:pPr>
      <w:r>
        <w:t>i.  Principes généraux</w:t>
      </w:r>
    </w:p>
    <w:p w:rsidR="00D344F9" w:rsidRPr="00D344F9" w:rsidRDefault="00D344F9" w:rsidP="00D344F9">
      <w:pPr>
        <w:pStyle w:val="JuPara"/>
      </w:pPr>
      <w:r>
        <w:fldChar w:fldCharType="begin"/>
      </w:r>
      <w:r>
        <w:instrText xml:space="preserve"> SEQ level0 \*arabic </w:instrText>
      </w:r>
      <w:r>
        <w:fldChar w:fldCharType="separate"/>
      </w:r>
      <w:r w:rsidR="00152465">
        <w:rPr>
          <w:noProof/>
        </w:rPr>
        <w:t>58</w:t>
      </w:r>
      <w:r>
        <w:fldChar w:fldCharType="end"/>
      </w:r>
      <w:r>
        <w:t>.  </w:t>
      </w:r>
      <w:r w:rsidRPr="00D344F9">
        <w:t xml:space="preserve">Dans sa jurisprudence, la Cour a établi que la discrimination </w:t>
      </w:r>
      <w:r w:rsidR="0033369C">
        <w:t>s</w:t>
      </w:r>
      <w:r w:rsidR="00785BC1">
        <w:t>’</w:t>
      </w:r>
      <w:r w:rsidR="0033369C">
        <w:t>entend</w:t>
      </w:r>
      <w:r w:rsidR="0033369C" w:rsidRPr="00D344F9">
        <w:t xml:space="preserve"> </w:t>
      </w:r>
      <w:r w:rsidRPr="00D344F9">
        <w:t xml:space="preserve">du fait de traiter de manière différente, </w:t>
      </w:r>
      <w:r w:rsidR="0033369C">
        <w:t>sans</w:t>
      </w:r>
      <w:r w:rsidR="0033369C" w:rsidRPr="00D344F9">
        <w:t xml:space="preserve"> </w:t>
      </w:r>
      <w:r w:rsidRPr="00D344F9">
        <w:t xml:space="preserve">justification objective et raisonnable, des personnes </w:t>
      </w:r>
      <w:r w:rsidR="0033369C">
        <w:t>se trouvant</w:t>
      </w:r>
      <w:r w:rsidR="0033369C" w:rsidRPr="00D344F9">
        <w:t xml:space="preserve"> </w:t>
      </w:r>
      <w:r w:rsidRPr="00D344F9">
        <w:t>en la matière dans des situations comparables (</w:t>
      </w:r>
      <w:r w:rsidRPr="00D344F9">
        <w:rPr>
          <w:i/>
        </w:rPr>
        <w:t>Willis c. Royaume-Uni</w:t>
      </w:r>
      <w:r w:rsidRPr="00D344F9">
        <w:t>, n</w:t>
      </w:r>
      <w:r w:rsidR="0010731F" w:rsidRPr="0010731F">
        <w:rPr>
          <w:vertAlign w:val="superscript"/>
        </w:rPr>
        <w:t>o</w:t>
      </w:r>
      <w:r w:rsidRPr="00D344F9">
        <w:t xml:space="preserve"> </w:t>
      </w:r>
      <w:r>
        <w:t>36042/97</w:t>
      </w:r>
      <w:r w:rsidRPr="00D344F9">
        <w:t>, § 48, CEDH 2002-IV). Toute différence de traitement n</w:t>
      </w:r>
      <w:r w:rsidR="00785BC1">
        <w:t>’</w:t>
      </w:r>
      <w:r w:rsidRPr="00D344F9">
        <w:t>emporte toutefois pas automatiquement violation de cet article. Il faut établir que des personnes placées dans des situations analogues ou comparables en la matière jouissent d</w:t>
      </w:r>
      <w:r w:rsidR="00785BC1">
        <w:t>’</w:t>
      </w:r>
      <w:r w:rsidRPr="00D344F9">
        <w:t xml:space="preserve">un traitement préférentiel, et que cette </w:t>
      </w:r>
      <w:r w:rsidR="007B77DB">
        <w:t>différence</w:t>
      </w:r>
      <w:r w:rsidR="007B77DB" w:rsidRPr="00D344F9">
        <w:t xml:space="preserve"> </w:t>
      </w:r>
      <w:r w:rsidRPr="00D344F9">
        <w:t>est discriminatoire (</w:t>
      </w:r>
      <w:r w:rsidRPr="00D344F9">
        <w:rPr>
          <w:i/>
        </w:rPr>
        <w:t>Ünal Tekeli</w:t>
      </w:r>
      <w:r w:rsidRPr="00D344F9">
        <w:t>,</w:t>
      </w:r>
      <w:r>
        <w:t xml:space="preserve"> précité,</w:t>
      </w:r>
      <w:r w:rsidRPr="00D344F9">
        <w:t xml:space="preserve"> §</w:t>
      </w:r>
      <w:r w:rsidR="00787BD7">
        <w:t> </w:t>
      </w:r>
      <w:r w:rsidRPr="00D344F9">
        <w:t>49</w:t>
      </w:r>
      <w:r>
        <w:t xml:space="preserve">, et </w:t>
      </w:r>
      <w:r>
        <w:rPr>
          <w:i/>
        </w:rPr>
        <w:t>Losonci Rose et Rose</w:t>
      </w:r>
      <w:r>
        <w:t>, précité, § 71</w:t>
      </w:r>
      <w:r w:rsidRPr="00D344F9">
        <w:t>).</w:t>
      </w:r>
    </w:p>
    <w:p w:rsidR="00D344F9" w:rsidRPr="00D344F9" w:rsidRDefault="00D344F9" w:rsidP="00D344F9">
      <w:pPr>
        <w:pStyle w:val="JuPara"/>
      </w:pPr>
      <w:r>
        <w:fldChar w:fldCharType="begin"/>
      </w:r>
      <w:r>
        <w:instrText xml:space="preserve"> SEQ level0 \*arabic </w:instrText>
      </w:r>
      <w:r>
        <w:fldChar w:fldCharType="separate"/>
      </w:r>
      <w:r w:rsidR="00152465">
        <w:rPr>
          <w:noProof/>
        </w:rPr>
        <w:t>59</w:t>
      </w:r>
      <w:r>
        <w:fldChar w:fldCharType="end"/>
      </w:r>
      <w:r>
        <w:t>.  </w:t>
      </w:r>
      <w:r w:rsidRPr="00D344F9">
        <w:t>Une distinction est discriminatoire au sens de l</w:t>
      </w:r>
      <w:r w:rsidR="00785BC1">
        <w:t>’</w:t>
      </w:r>
      <w:r w:rsidRPr="00D344F9">
        <w:t>article 14 si elle manque de justification objective et raisonnable. L</w:t>
      </w:r>
      <w:r w:rsidR="00785BC1">
        <w:t>’</w:t>
      </w:r>
      <w:r w:rsidRPr="00D344F9">
        <w:t>existence de pareille justification s</w:t>
      </w:r>
      <w:r w:rsidR="00785BC1">
        <w:t>’</w:t>
      </w:r>
      <w:r w:rsidRPr="00D344F9">
        <w:t>apprécie à la lumière des principes qui prévalent d</w:t>
      </w:r>
      <w:r w:rsidR="00785BC1">
        <w:t>’</w:t>
      </w:r>
      <w:r w:rsidRPr="00D344F9">
        <w:t>ordinaire dans les sociétés démocratiques. Une différence de traitement dans l</w:t>
      </w:r>
      <w:r w:rsidR="00785BC1">
        <w:t>’</w:t>
      </w:r>
      <w:r w:rsidRPr="00D344F9">
        <w:t>exercice d</w:t>
      </w:r>
      <w:r w:rsidR="00785BC1">
        <w:t>’</w:t>
      </w:r>
      <w:r w:rsidRPr="00D344F9">
        <w:t>un droit énoncé par la Convention ne doit pas seulement poursuivre un but légitime</w:t>
      </w:r>
      <w:r w:rsidR="00C614EE">
        <w:t> </w:t>
      </w:r>
      <w:r w:rsidRPr="00D344F9">
        <w:t>: l</w:t>
      </w:r>
      <w:r w:rsidR="00785BC1">
        <w:t>’</w:t>
      </w:r>
      <w:r w:rsidRPr="00D344F9">
        <w:t>article 14 est également violé s</w:t>
      </w:r>
      <w:r w:rsidR="00785BC1">
        <w:t>’</w:t>
      </w:r>
      <w:r w:rsidRPr="00D344F9">
        <w:t>il n</w:t>
      </w:r>
      <w:r w:rsidR="00785BC1">
        <w:t>’</w:t>
      </w:r>
      <w:r w:rsidRPr="00D344F9">
        <w:t xml:space="preserve">y a pas de « rapport raisonnable de proportionnalité entre les moyens employés et le but visé » (voir, par exemple, </w:t>
      </w:r>
      <w:r w:rsidRPr="00D344F9">
        <w:rPr>
          <w:i/>
        </w:rPr>
        <w:t>Petrovic</w:t>
      </w:r>
      <w:r w:rsidRPr="00D344F9">
        <w:t xml:space="preserve">, précité, § 30, et </w:t>
      </w:r>
      <w:r w:rsidRPr="00D344F9">
        <w:rPr>
          <w:i/>
        </w:rPr>
        <w:t>Lithgow et autres c.</w:t>
      </w:r>
      <w:r>
        <w:rPr>
          <w:i/>
        </w:rPr>
        <w:t> </w:t>
      </w:r>
      <w:r w:rsidRPr="00D344F9">
        <w:rPr>
          <w:i/>
        </w:rPr>
        <w:t>Royaume-Uni</w:t>
      </w:r>
      <w:r w:rsidRPr="00D344F9">
        <w:t>, 8 juillet 1986, § 177, série A n</w:t>
      </w:r>
      <w:r w:rsidR="0010731F" w:rsidRPr="0010731F">
        <w:rPr>
          <w:vertAlign w:val="superscript"/>
        </w:rPr>
        <w:t>o</w:t>
      </w:r>
      <w:r w:rsidRPr="00D344F9">
        <w:t xml:space="preserve"> 102).</w:t>
      </w:r>
    </w:p>
    <w:p w:rsidR="00D344F9" w:rsidRPr="00D344F9" w:rsidRDefault="00D344F9" w:rsidP="00D344F9">
      <w:pPr>
        <w:pStyle w:val="JuPara"/>
      </w:pPr>
      <w:r>
        <w:fldChar w:fldCharType="begin"/>
      </w:r>
      <w:r>
        <w:instrText xml:space="preserve"> SEQ level0 \*arabic </w:instrText>
      </w:r>
      <w:r>
        <w:fldChar w:fldCharType="separate"/>
      </w:r>
      <w:r w:rsidR="00152465">
        <w:rPr>
          <w:noProof/>
        </w:rPr>
        <w:t>60</w:t>
      </w:r>
      <w:r>
        <w:fldChar w:fldCharType="end"/>
      </w:r>
      <w:r>
        <w:t>.  </w:t>
      </w:r>
      <w:r w:rsidRPr="00D344F9">
        <w:t>En d</w:t>
      </w:r>
      <w:r w:rsidR="00785BC1">
        <w:t>’</w:t>
      </w:r>
      <w:r w:rsidRPr="00D344F9">
        <w:t>autres termes, la notion de discrimination englobe d</w:t>
      </w:r>
      <w:r w:rsidR="00785BC1">
        <w:t>’</w:t>
      </w:r>
      <w:r w:rsidRPr="00D344F9">
        <w:t>ordinaire les cas dans lesquels un individu ou un groupe se voit, sans justification adéquate, moins bien traité qu</w:t>
      </w:r>
      <w:r w:rsidR="00785BC1">
        <w:t>’</w:t>
      </w:r>
      <w:r w:rsidRPr="00D344F9">
        <w:t>un autre, même si la Convention ne requiert pas le traitement plus favorable (</w:t>
      </w:r>
      <w:r w:rsidRPr="00D344F9">
        <w:rPr>
          <w:i/>
        </w:rPr>
        <w:t>Abdulaziz, Cabales et Balkandali c.</w:t>
      </w:r>
      <w:r>
        <w:rPr>
          <w:i/>
        </w:rPr>
        <w:t> </w:t>
      </w:r>
      <w:r w:rsidRPr="00D344F9">
        <w:rPr>
          <w:i/>
        </w:rPr>
        <w:t>Royaume-Uni</w:t>
      </w:r>
      <w:r w:rsidRPr="00D344F9">
        <w:t>, 28 mai 1985, § 82, série A n</w:t>
      </w:r>
      <w:r w:rsidR="0010731F" w:rsidRPr="0010731F">
        <w:rPr>
          <w:vertAlign w:val="superscript"/>
        </w:rPr>
        <w:t>o</w:t>
      </w:r>
      <w:r w:rsidRPr="00D344F9">
        <w:t xml:space="preserve"> 94). En effet, l</w:t>
      </w:r>
      <w:r w:rsidR="00785BC1">
        <w:t>’</w:t>
      </w:r>
      <w:r w:rsidRPr="00D344F9">
        <w:t>article</w:t>
      </w:r>
      <w:r w:rsidR="00787BD7">
        <w:t> </w:t>
      </w:r>
      <w:r w:rsidRPr="00D344F9">
        <w:t>14 n</w:t>
      </w:r>
      <w:r w:rsidR="00785BC1">
        <w:t>’</w:t>
      </w:r>
      <w:r w:rsidRPr="00D344F9">
        <w:t xml:space="preserve">empêche pas une </w:t>
      </w:r>
      <w:r w:rsidR="00B747BA">
        <w:t>différence</w:t>
      </w:r>
      <w:r w:rsidR="00B747BA" w:rsidRPr="00D344F9">
        <w:t xml:space="preserve"> </w:t>
      </w:r>
      <w:r w:rsidRPr="00D344F9">
        <w:t>de traitement si elle repose sur une appréciation objective de circonstances de fait essentiellement différentes et si, s</w:t>
      </w:r>
      <w:r w:rsidR="00785BC1">
        <w:t>’</w:t>
      </w:r>
      <w:r w:rsidRPr="00D344F9">
        <w:t>inspirant de l</w:t>
      </w:r>
      <w:r w:rsidR="00785BC1">
        <w:t>’</w:t>
      </w:r>
      <w:r w:rsidRPr="00D344F9">
        <w:t>intérêt public, elle ménage un juste équilibre entre la sauvegarde des intérêts de la communauté et le respect des droits et libertés garantis par la Convention (voir, parmi d</w:t>
      </w:r>
      <w:r w:rsidR="00785BC1">
        <w:t>’</w:t>
      </w:r>
      <w:r w:rsidRPr="00D344F9">
        <w:t xml:space="preserve">autres, </w:t>
      </w:r>
      <w:r w:rsidRPr="00D344F9">
        <w:rPr>
          <w:i/>
        </w:rPr>
        <w:t>G.M.B. et K.M. c. Suisse</w:t>
      </w:r>
      <w:r w:rsidRPr="00D344F9">
        <w:t xml:space="preserve"> (déc.), n</w:t>
      </w:r>
      <w:r w:rsidR="0010731F" w:rsidRPr="0010731F">
        <w:rPr>
          <w:vertAlign w:val="superscript"/>
        </w:rPr>
        <w:t>o</w:t>
      </w:r>
      <w:r w:rsidRPr="00D344F9">
        <w:t xml:space="preserve"> </w:t>
      </w:r>
      <w:r>
        <w:t>36797/97</w:t>
      </w:r>
      <w:r w:rsidRPr="00D344F9">
        <w:t>, 27 septembre 2001</w:t>
      </w:r>
      <w:r>
        <w:t xml:space="preserve">, et </w:t>
      </w:r>
      <w:r>
        <w:rPr>
          <w:i/>
        </w:rPr>
        <w:t>Zarb Adami</w:t>
      </w:r>
      <w:r>
        <w:t>, précité, § 73</w:t>
      </w:r>
      <w:r w:rsidRPr="00D344F9">
        <w:t>).</w:t>
      </w:r>
    </w:p>
    <w:p w:rsidR="00D344F9" w:rsidRDefault="00D344F9" w:rsidP="00D344F9">
      <w:pPr>
        <w:pStyle w:val="JuPara"/>
      </w:pPr>
      <w:r>
        <w:fldChar w:fldCharType="begin"/>
      </w:r>
      <w:r>
        <w:instrText xml:space="preserve"> SEQ level0 \*arabic </w:instrText>
      </w:r>
      <w:r>
        <w:fldChar w:fldCharType="separate"/>
      </w:r>
      <w:r w:rsidR="00152465">
        <w:rPr>
          <w:noProof/>
        </w:rPr>
        <w:t>61</w:t>
      </w:r>
      <w:r>
        <w:fldChar w:fldCharType="end"/>
      </w:r>
      <w:r>
        <w:t>.  </w:t>
      </w:r>
      <w:r w:rsidRPr="00D344F9">
        <w:t>Les Etats contractants jouissent d</w:t>
      </w:r>
      <w:r w:rsidR="00785BC1">
        <w:t>’</w:t>
      </w:r>
      <w:r w:rsidRPr="00D344F9">
        <w:t>une certaine marge d</w:t>
      </w:r>
      <w:r w:rsidR="00785BC1">
        <w:t>’</w:t>
      </w:r>
      <w:r w:rsidRPr="00D344F9">
        <w:t>appréciation pour déterminer si et dans quelle mesure des différences entre des situations à d</w:t>
      </w:r>
      <w:r w:rsidR="00785BC1">
        <w:t>’</w:t>
      </w:r>
      <w:r w:rsidRPr="00D344F9">
        <w:t xml:space="preserve">autres égards analogues justifient des </w:t>
      </w:r>
      <w:r w:rsidR="00A25329">
        <w:t>différences</w:t>
      </w:r>
      <w:r w:rsidR="00A25329" w:rsidRPr="00D344F9">
        <w:t xml:space="preserve"> </w:t>
      </w:r>
      <w:r w:rsidRPr="00D344F9">
        <w:t>de traitement juridique (</w:t>
      </w:r>
      <w:r w:rsidRPr="00D344F9">
        <w:rPr>
          <w:i/>
        </w:rPr>
        <w:t>Gaygusuz c. Autriche</w:t>
      </w:r>
      <w:r w:rsidRPr="00D344F9">
        <w:t xml:space="preserve">, 16 septembre 1996, § 42, </w:t>
      </w:r>
      <w:r w:rsidRPr="00D344F9">
        <w:rPr>
          <w:i/>
        </w:rPr>
        <w:t>Recueil</w:t>
      </w:r>
      <w:r w:rsidRPr="00D344F9">
        <w:t xml:space="preserve"> 1996-IV). Son étendue varie selon les circonstances, les domaines et le contexte (</w:t>
      </w:r>
      <w:r w:rsidRPr="00D344F9">
        <w:rPr>
          <w:i/>
        </w:rPr>
        <w:t>Rasmussen c. Danemark</w:t>
      </w:r>
      <w:r w:rsidRPr="00D344F9">
        <w:t>, 28 novembre 1984, § 40, série A n</w:t>
      </w:r>
      <w:r w:rsidR="0010731F" w:rsidRPr="0010731F">
        <w:rPr>
          <w:vertAlign w:val="superscript"/>
        </w:rPr>
        <w:t>o</w:t>
      </w:r>
      <w:r w:rsidRPr="00D344F9">
        <w:t xml:space="preserve"> 87, et </w:t>
      </w:r>
      <w:r w:rsidRPr="00D344F9">
        <w:rPr>
          <w:i/>
        </w:rPr>
        <w:t>Inze c. Autriche</w:t>
      </w:r>
      <w:r w:rsidRPr="00D344F9">
        <w:t>, 28 octobre 1987, § 41, série A n</w:t>
      </w:r>
      <w:r w:rsidR="0010731F" w:rsidRPr="0010731F">
        <w:rPr>
          <w:vertAlign w:val="superscript"/>
        </w:rPr>
        <w:t>o</w:t>
      </w:r>
      <w:r w:rsidRPr="00D344F9">
        <w:t xml:space="preserve"> 126), mais la décision finale quant à l</w:t>
      </w:r>
      <w:r w:rsidR="00785BC1">
        <w:t>’</w:t>
      </w:r>
      <w:r w:rsidRPr="00D344F9">
        <w:t>observation des exigences posées par la Convention appartient à la Cour. La Convention étant avant tout un mécanisme de protection des droits de l</w:t>
      </w:r>
      <w:r w:rsidR="00785BC1">
        <w:t>’</w:t>
      </w:r>
      <w:r w:rsidRPr="00D344F9">
        <w:t>homme, la Cour doit tenir compte de l</w:t>
      </w:r>
      <w:r w:rsidR="00785BC1">
        <w:t>’</w:t>
      </w:r>
      <w:r w:rsidRPr="00D344F9">
        <w:t>évolution de la situation dans l</w:t>
      </w:r>
      <w:r w:rsidR="00785BC1">
        <w:t>’</w:t>
      </w:r>
      <w:r w:rsidRPr="00D344F9">
        <w:t>Etat défendeur et dans les Etats contractants en général et réagir, par exemple, au consensus susceptible d</w:t>
      </w:r>
      <w:r w:rsidR="00785BC1">
        <w:t>’</w:t>
      </w:r>
      <w:r w:rsidRPr="00D344F9">
        <w:t>apparaître quant aux normes à atteindre (</w:t>
      </w:r>
      <w:r w:rsidRPr="00E4243F">
        <w:rPr>
          <w:i/>
        </w:rPr>
        <w:t>Ünal Tekeli</w:t>
      </w:r>
      <w:r w:rsidRPr="00D344F9">
        <w:t>, précité, § 54</w:t>
      </w:r>
      <w:r w:rsidR="00B21B7E">
        <w:t xml:space="preserve"> ; </w:t>
      </w:r>
      <w:r w:rsidR="00B21B7E">
        <w:rPr>
          <w:i/>
        </w:rPr>
        <w:t>Zarb Adami</w:t>
      </w:r>
      <w:r w:rsidR="00B21B7E">
        <w:t xml:space="preserve">, précité, § 74 ; et </w:t>
      </w:r>
      <w:r w:rsidR="00B21B7E">
        <w:rPr>
          <w:i/>
        </w:rPr>
        <w:t>Losonci Rose et Rose</w:t>
      </w:r>
      <w:r w:rsidR="00B21B7E">
        <w:t>, précité, § 74</w:t>
      </w:r>
      <w:r w:rsidRPr="00D344F9">
        <w:t>).</w:t>
      </w:r>
    </w:p>
    <w:p w:rsidR="00B21B7E" w:rsidRPr="00D344F9" w:rsidRDefault="00B21B7E" w:rsidP="00B21B7E">
      <w:pPr>
        <w:pStyle w:val="JuHi"/>
      </w:pPr>
      <w:r>
        <w:t>ii. </w:t>
      </w:r>
      <w:r w:rsidR="00D55BCB">
        <w:t> </w:t>
      </w:r>
      <w:r>
        <w:t>Sur le point de savoir s</w:t>
      </w:r>
      <w:r w:rsidR="00785BC1">
        <w:t>’</w:t>
      </w:r>
      <w:r>
        <w:t>il y a eu différence de traitement entre des personnes se trouvant dans des situations similaires</w:t>
      </w:r>
    </w:p>
    <w:p w:rsidR="00EF0D02" w:rsidRDefault="002005BF" w:rsidP="002005BF">
      <w:pPr>
        <w:pStyle w:val="JuPara"/>
      </w:pPr>
      <w:r>
        <w:fldChar w:fldCharType="begin"/>
      </w:r>
      <w:r>
        <w:instrText xml:space="preserve"> SEQ level0 \*arabic </w:instrText>
      </w:r>
      <w:r>
        <w:fldChar w:fldCharType="separate"/>
      </w:r>
      <w:r w:rsidR="00152465">
        <w:rPr>
          <w:noProof/>
        </w:rPr>
        <w:t>62</w:t>
      </w:r>
      <w:r>
        <w:fldChar w:fldCharType="end"/>
      </w:r>
      <w:r>
        <w:t>.  </w:t>
      </w:r>
      <w:r w:rsidR="00860253">
        <w:tab/>
      </w:r>
      <w:r w:rsidR="00EB74E0">
        <w:t>Selon</w:t>
      </w:r>
      <w:r w:rsidRPr="002005BF">
        <w:t xml:space="preserve"> la </w:t>
      </w:r>
      <w:r w:rsidR="00EB74E0">
        <w:t>lecture</w:t>
      </w:r>
      <w:r w:rsidR="00EB74E0" w:rsidRPr="002005BF">
        <w:t xml:space="preserve"> </w:t>
      </w:r>
      <w:r w:rsidRPr="002005BF">
        <w:t>du droit interne opérée par la Cour de cassation (paragraphe 16 ci-dessus)</w:t>
      </w:r>
      <w:r w:rsidR="00EB74E0">
        <w:t>,</w:t>
      </w:r>
      <w:r w:rsidRPr="002005BF">
        <w:t xml:space="preserve"> la règle selon laquelle </w:t>
      </w:r>
      <w:r w:rsidR="00860253" w:rsidRPr="002005BF">
        <w:t xml:space="preserve">les </w:t>
      </w:r>
      <w:r w:rsidR="00927CFD" w:rsidRPr="00110305">
        <w:t>« </w:t>
      </w:r>
      <w:r w:rsidR="00927CFD">
        <w:t>enfants légitimes</w:t>
      </w:r>
      <w:r w:rsidR="00927CFD" w:rsidRPr="00110305">
        <w:t> »</w:t>
      </w:r>
      <w:r w:rsidR="00860253" w:rsidRPr="002005BF">
        <w:t xml:space="preserve"> se </w:t>
      </w:r>
      <w:r w:rsidRPr="002005BF">
        <w:t xml:space="preserve">voient attribuer </w:t>
      </w:r>
      <w:r w:rsidR="00EB74E0">
        <w:t xml:space="preserve">à la naissance </w:t>
      </w:r>
      <w:r w:rsidRPr="002005BF">
        <w:t>le nom du père</w:t>
      </w:r>
      <w:r w:rsidR="00EB74E0">
        <w:t xml:space="preserve"> se dégage, par une interprétation adéquate, de la combinaison d</w:t>
      </w:r>
      <w:r w:rsidR="00785BC1">
        <w:t>’</w:t>
      </w:r>
      <w:r w:rsidR="00EB74E0">
        <w:t>un certain nombre d</w:t>
      </w:r>
      <w:r w:rsidR="00785BC1">
        <w:t>’</w:t>
      </w:r>
      <w:r w:rsidR="00EB74E0">
        <w:t>articles du code civil</w:t>
      </w:r>
      <w:r w:rsidRPr="002005BF">
        <w:t xml:space="preserve">. La législation interne ne prévoit </w:t>
      </w:r>
      <w:r w:rsidR="00860253" w:rsidRPr="002005BF">
        <w:t>aucune exception</w:t>
      </w:r>
      <w:r w:rsidRPr="002005BF">
        <w:t xml:space="preserve"> à cette règle</w:t>
      </w:r>
      <w:r w:rsidR="00860253" w:rsidRPr="002005BF">
        <w:t>.</w:t>
      </w:r>
      <w:r>
        <w:t xml:space="preserve"> Il est vrai, comme le souligne le Gouvernement (paragraphe</w:t>
      </w:r>
      <w:r w:rsidR="00B06AED">
        <w:t>s 49-51</w:t>
      </w:r>
      <w:r>
        <w:t xml:space="preserve"> ci-dessus), que l</w:t>
      </w:r>
      <w:r w:rsidR="00785BC1">
        <w:t>’</w:t>
      </w:r>
      <w:r>
        <w:t>article 84 du décret présidentiel n</w:t>
      </w:r>
      <w:r w:rsidR="0010731F" w:rsidRPr="0010731F">
        <w:rPr>
          <w:vertAlign w:val="superscript"/>
        </w:rPr>
        <w:t>o</w:t>
      </w:r>
      <w:r>
        <w:t xml:space="preserve"> 396 de 2000 prévoit la possibilité d</w:t>
      </w:r>
      <w:r w:rsidR="00785BC1">
        <w:t>’</w:t>
      </w:r>
      <w:r>
        <w:t>un changement de nom, et qu</w:t>
      </w:r>
      <w:r w:rsidR="00785BC1">
        <w:t>’</w:t>
      </w:r>
      <w:r>
        <w:t>en l</w:t>
      </w:r>
      <w:r w:rsidR="00785BC1">
        <w:t>’</w:t>
      </w:r>
      <w:r>
        <w:t xml:space="preserve">espèce le </w:t>
      </w:r>
      <w:r w:rsidR="00A24D6F">
        <w:t xml:space="preserve">préfet </w:t>
      </w:r>
      <w:r w:rsidR="00B06AED">
        <w:t xml:space="preserve">de Milan a autorisé les requérants à </w:t>
      </w:r>
      <w:r w:rsidR="00A24D6F">
        <w:t xml:space="preserve">compléter le </w:t>
      </w:r>
      <w:r w:rsidR="00B06AED">
        <w:t xml:space="preserve">nom de Maddalena </w:t>
      </w:r>
      <w:r w:rsidR="00A24D6F">
        <w:t>par l</w:t>
      </w:r>
      <w:r w:rsidR="00785BC1">
        <w:t>’</w:t>
      </w:r>
      <w:r w:rsidR="00A24D6F">
        <w:t>ajout d</w:t>
      </w:r>
      <w:r w:rsidR="00785BC1">
        <w:t>’</w:t>
      </w:r>
      <w:r w:rsidR="00B06AED">
        <w:t xml:space="preserve">un autre nom (celui de sa mère – paragraphe 22 ci-dessus). Cependant, il faut distinguer </w:t>
      </w:r>
      <w:r w:rsidR="00A87FC1">
        <w:t xml:space="preserve">la détermination </w:t>
      </w:r>
      <w:r w:rsidR="00B06AED">
        <w:t>du nom à la naissance d</w:t>
      </w:r>
      <w:r w:rsidR="00523AB4">
        <w:t>e la possibilité de</w:t>
      </w:r>
      <w:r w:rsidR="00B06AED">
        <w:t xml:space="preserve"> change</w:t>
      </w:r>
      <w:r w:rsidR="00523AB4">
        <w:t>r</w:t>
      </w:r>
      <w:r w:rsidR="00B06AED">
        <w:t xml:space="preserve"> de </w:t>
      </w:r>
      <w:r w:rsidR="00523AB4">
        <w:t>nom au cours de la vie. A cet égard, la Cour renvoie aux considérations qu</w:t>
      </w:r>
      <w:r w:rsidR="00785BC1">
        <w:t>’</w:t>
      </w:r>
      <w:r w:rsidR="00523AB4">
        <w:t xml:space="preserve">elle a </w:t>
      </w:r>
      <w:r w:rsidR="00A24D6F">
        <w:t>ex</w:t>
      </w:r>
      <w:r w:rsidR="00523AB4">
        <w:t>p</w:t>
      </w:r>
      <w:r w:rsidR="00A24D6F">
        <w:t>os</w:t>
      </w:r>
      <w:r w:rsidR="00523AB4">
        <w:t xml:space="preserve">ées </w:t>
      </w:r>
      <w:r w:rsidR="00EF0D02">
        <w:t>dans le cadre de l</w:t>
      </w:r>
      <w:r w:rsidR="00785BC1">
        <w:t>’</w:t>
      </w:r>
      <w:r w:rsidR="00EF0D02">
        <w:t xml:space="preserve">exception du Gouvernement tirée de la perte </w:t>
      </w:r>
      <w:r w:rsidR="00A87FC1">
        <w:t xml:space="preserve">par les </w:t>
      </w:r>
      <w:r w:rsidR="00EF0D02">
        <w:t>requérants</w:t>
      </w:r>
      <w:r w:rsidR="00A87FC1">
        <w:t xml:space="preserve"> de </w:t>
      </w:r>
      <w:r w:rsidR="00125C43">
        <w:t>la</w:t>
      </w:r>
      <w:r w:rsidR="00A87FC1">
        <w:t xml:space="preserve"> qualité de victimes</w:t>
      </w:r>
      <w:r w:rsidR="00EF0D02">
        <w:t xml:space="preserve"> (paragraphe 32 ci-dessus).</w:t>
      </w:r>
    </w:p>
    <w:p w:rsidR="00860253" w:rsidRDefault="00EF0D02" w:rsidP="00EF0D02">
      <w:pPr>
        <w:pStyle w:val="JuPara"/>
      </w:pPr>
      <w:r>
        <w:fldChar w:fldCharType="begin"/>
      </w:r>
      <w:r>
        <w:instrText xml:space="preserve"> SEQ level0 \*arabic </w:instrText>
      </w:r>
      <w:r>
        <w:fldChar w:fldCharType="separate"/>
      </w:r>
      <w:r w:rsidR="00152465">
        <w:rPr>
          <w:noProof/>
        </w:rPr>
        <w:t>63</w:t>
      </w:r>
      <w:r>
        <w:fldChar w:fldCharType="end"/>
      </w:r>
      <w:r>
        <w:t>.  A la lumière de ce qui précède, la Cour est d</w:t>
      </w:r>
      <w:r w:rsidR="00785BC1">
        <w:t>’</w:t>
      </w:r>
      <w:r>
        <w:t>avis que dans le cadre de l</w:t>
      </w:r>
      <w:r w:rsidR="00A24D6F">
        <w:t xml:space="preserve">a détermination </w:t>
      </w:r>
      <w:r>
        <w:t xml:space="preserve">du nom de famille </w:t>
      </w:r>
      <w:r w:rsidR="00D14DBD">
        <w:t xml:space="preserve">à </w:t>
      </w:r>
      <w:r w:rsidR="00A24D6F">
        <w:t xml:space="preserve">attribuer à </w:t>
      </w:r>
      <w:r w:rsidR="00D14DBD">
        <w:t>leur</w:t>
      </w:r>
      <w:r>
        <w:t xml:space="preserve"> </w:t>
      </w:r>
      <w:r w:rsidR="00927CFD" w:rsidRPr="00110305">
        <w:t>« </w:t>
      </w:r>
      <w:r w:rsidR="00927CFD">
        <w:t>enfant légitime</w:t>
      </w:r>
      <w:r w:rsidR="00927CFD" w:rsidRPr="00110305">
        <w:t> »</w:t>
      </w:r>
      <w:r>
        <w:t xml:space="preserve">, des personnes se trouvant dans des situations similaires, à savoir </w:t>
      </w:r>
      <w:r w:rsidR="00125C43">
        <w:t>l</w:t>
      </w:r>
      <w:r w:rsidR="00785BC1">
        <w:t>’</w:t>
      </w:r>
      <w:r w:rsidR="00125C43">
        <w:t>un et l</w:t>
      </w:r>
      <w:r w:rsidR="00785BC1">
        <w:t>’</w:t>
      </w:r>
      <w:r w:rsidR="00125C43">
        <w:t xml:space="preserve">autre des </w:t>
      </w:r>
      <w:r w:rsidR="00D14DBD">
        <w:t xml:space="preserve">requérants, </w:t>
      </w:r>
      <w:r w:rsidR="00A24D6F">
        <w:t xml:space="preserve">respectivement </w:t>
      </w:r>
      <w:r>
        <w:t>père et mère de l</w:t>
      </w:r>
      <w:r w:rsidR="00785BC1">
        <w:t>’</w:t>
      </w:r>
      <w:r>
        <w:t xml:space="preserve">enfant, ont </w:t>
      </w:r>
      <w:r w:rsidR="00D14DBD">
        <w:t xml:space="preserve">été </w:t>
      </w:r>
      <w:r>
        <w:t>traitées de manière différente. En effet, à la différence du père, la mère n</w:t>
      </w:r>
      <w:r w:rsidR="00785BC1">
        <w:t>’</w:t>
      </w:r>
      <w:r w:rsidR="00D14DBD">
        <w:t>a</w:t>
      </w:r>
      <w:r>
        <w:t xml:space="preserve"> pas </w:t>
      </w:r>
      <w:r w:rsidR="00A24D6F">
        <w:t xml:space="preserve">pu </w:t>
      </w:r>
      <w:r>
        <w:t>obtenir l</w:t>
      </w:r>
      <w:r w:rsidR="00785BC1">
        <w:t>’</w:t>
      </w:r>
      <w:r>
        <w:t xml:space="preserve">attribution de son nom de famille au nouveau-né, et ce </w:t>
      </w:r>
      <w:r w:rsidR="00D14DBD">
        <w:t>en dépit de</w:t>
      </w:r>
      <w:r>
        <w:t xml:space="preserve"> l</w:t>
      </w:r>
      <w:r w:rsidR="00785BC1">
        <w:t>’</w:t>
      </w:r>
      <w:r>
        <w:t>accord de son époux.</w:t>
      </w:r>
    </w:p>
    <w:p w:rsidR="00B21B7E" w:rsidRPr="00B21B7E" w:rsidRDefault="00B21B7E" w:rsidP="00B21B7E">
      <w:pPr>
        <w:pStyle w:val="JuHi"/>
      </w:pPr>
      <w:r w:rsidRPr="00B21B7E">
        <w:t>iii.</w:t>
      </w:r>
      <w:r w:rsidR="00A24D6F">
        <w:t>  </w:t>
      </w:r>
      <w:r w:rsidRPr="00B21B7E">
        <w:t>Sur le point de savoir s</w:t>
      </w:r>
      <w:r w:rsidR="00785BC1">
        <w:t>’</w:t>
      </w:r>
      <w:r w:rsidRPr="00B21B7E">
        <w:t>il existait une justification objective et raisonnable</w:t>
      </w:r>
    </w:p>
    <w:p w:rsidR="00B21B7E" w:rsidRDefault="00B21B7E" w:rsidP="00B21B7E">
      <w:pPr>
        <w:pStyle w:val="JuPara"/>
      </w:pPr>
      <w:r>
        <w:fldChar w:fldCharType="begin"/>
      </w:r>
      <w:r>
        <w:instrText xml:space="preserve"> SEQ level0 \*arabic </w:instrText>
      </w:r>
      <w:r>
        <w:fldChar w:fldCharType="separate"/>
      </w:r>
      <w:r w:rsidR="00152465">
        <w:rPr>
          <w:noProof/>
        </w:rPr>
        <w:t>64</w:t>
      </w:r>
      <w:r>
        <w:fldChar w:fldCharType="end"/>
      </w:r>
      <w:r>
        <w:t>.  </w:t>
      </w:r>
      <w:r w:rsidRPr="00B21B7E">
        <w:t>La Cour rappelle que si une politique ou une mesure générale a des effets préjudiciables disproportionnés sur un groupe de personnes, la possibilité qu</w:t>
      </w:r>
      <w:r w:rsidR="00785BC1">
        <w:t>’</w:t>
      </w:r>
      <w:r w:rsidRPr="00B21B7E">
        <w:t>elle soit considérée comme discriminatoire ne peut être exclue même si elle ne vise pas spécifiquement ce groupe (</w:t>
      </w:r>
      <w:r w:rsidRPr="00B21B7E">
        <w:rPr>
          <w:i/>
        </w:rPr>
        <w:t>McShane c. Royaume-Uni</w:t>
      </w:r>
      <w:r w:rsidRPr="00B21B7E">
        <w:t>, n</w:t>
      </w:r>
      <w:r w:rsidR="0010731F" w:rsidRPr="0010731F">
        <w:rPr>
          <w:vertAlign w:val="superscript"/>
        </w:rPr>
        <w:t>o</w:t>
      </w:r>
      <w:r>
        <w:t xml:space="preserve"> 43290/98</w:t>
      </w:r>
      <w:r w:rsidRPr="00B21B7E">
        <w:t xml:space="preserve">, § 135, 28 mai 2002). </w:t>
      </w:r>
      <w:r w:rsidR="00D14DBD">
        <w:t>De plus</w:t>
      </w:r>
      <w:r w:rsidRPr="00B21B7E">
        <w:t>, seules des considérations très fortes peuvent amener la Cour à estimer compatible avec la Convention une différence de traitement exclusivement fondée sur le sexe (</w:t>
      </w:r>
      <w:r w:rsidRPr="00B21B7E">
        <w:rPr>
          <w:i/>
        </w:rPr>
        <w:t>Willis</w:t>
      </w:r>
      <w:r w:rsidRPr="00B21B7E">
        <w:t>, précité, § 39</w:t>
      </w:r>
      <w:r>
        <w:t> ;</w:t>
      </w:r>
      <w:r w:rsidRPr="00B21B7E">
        <w:t xml:space="preserve"> </w:t>
      </w:r>
      <w:r w:rsidRPr="00B21B7E">
        <w:rPr>
          <w:i/>
        </w:rPr>
        <w:t>Schuler-Zgraggen c. Suisse</w:t>
      </w:r>
      <w:r w:rsidRPr="00B21B7E">
        <w:t>, 24 juin 1993, § 67, série</w:t>
      </w:r>
      <w:r w:rsidR="00787BD7">
        <w:t> </w:t>
      </w:r>
      <w:r w:rsidRPr="00B21B7E">
        <w:t>A n</w:t>
      </w:r>
      <w:r w:rsidR="0010731F" w:rsidRPr="0010731F">
        <w:rPr>
          <w:vertAlign w:val="superscript"/>
        </w:rPr>
        <w:t>o</w:t>
      </w:r>
      <w:r w:rsidR="00D14DBD">
        <w:t> </w:t>
      </w:r>
      <w:r w:rsidRPr="00B21B7E">
        <w:t>263</w:t>
      </w:r>
      <w:r>
        <w:t xml:space="preserve"> ; et </w:t>
      </w:r>
      <w:r>
        <w:rPr>
          <w:i/>
        </w:rPr>
        <w:t>Losonci Rose et Rose</w:t>
      </w:r>
      <w:r>
        <w:t>, précité, § 80</w:t>
      </w:r>
      <w:r w:rsidRPr="00B21B7E">
        <w:t>).</w:t>
      </w:r>
    </w:p>
    <w:p w:rsidR="00860253" w:rsidRDefault="002B477D" w:rsidP="00056CD4">
      <w:pPr>
        <w:pStyle w:val="JuPara"/>
        <w:rPr>
          <w:highlight w:val="yellow"/>
        </w:rPr>
      </w:pPr>
      <w:r>
        <w:fldChar w:fldCharType="begin"/>
      </w:r>
      <w:r w:rsidRPr="00E57909">
        <w:instrText xml:space="preserve"> SEQ level0 \*arabic </w:instrText>
      </w:r>
      <w:r>
        <w:fldChar w:fldCharType="separate"/>
      </w:r>
      <w:r w:rsidR="00152465">
        <w:rPr>
          <w:noProof/>
        </w:rPr>
        <w:t>65</w:t>
      </w:r>
      <w:r>
        <w:fldChar w:fldCharType="end"/>
      </w:r>
      <w:r w:rsidRPr="00E57909">
        <w:t>.  </w:t>
      </w:r>
      <w:r w:rsidR="00E57909">
        <w:t>L</w:t>
      </w:r>
      <w:r w:rsidR="00860253" w:rsidRPr="00E57909">
        <w:t xml:space="preserve">a Cour </w:t>
      </w:r>
      <w:r w:rsidR="00E57909" w:rsidRPr="00E57909">
        <w:t>rappelle qu</w:t>
      </w:r>
      <w:r w:rsidR="00785BC1">
        <w:t>’</w:t>
      </w:r>
      <w:r w:rsidR="00E57909" w:rsidRPr="00E57909">
        <w:t xml:space="preserve">elle </w:t>
      </w:r>
      <w:r w:rsidR="00860253" w:rsidRPr="00E57909">
        <w:t>a eu l</w:t>
      </w:r>
      <w:r w:rsidR="00785BC1">
        <w:t>’</w:t>
      </w:r>
      <w:r w:rsidR="00860253" w:rsidRPr="00E57909">
        <w:t xml:space="preserve">occasion de traiter des questions </w:t>
      </w:r>
      <w:r w:rsidR="00D14DBD">
        <w:t xml:space="preserve">en partie </w:t>
      </w:r>
      <w:r w:rsidR="00860253" w:rsidRPr="00E57909">
        <w:t xml:space="preserve">similaires dans les affaires </w:t>
      </w:r>
      <w:r w:rsidR="00E57909" w:rsidRPr="00E57909">
        <w:rPr>
          <w:i/>
        </w:rPr>
        <w:t>Burghartz</w:t>
      </w:r>
      <w:r w:rsidR="00E57909" w:rsidRPr="00E57909">
        <w:t xml:space="preserve">, </w:t>
      </w:r>
      <w:r w:rsidR="00E57909" w:rsidRPr="00E57909">
        <w:rPr>
          <w:i/>
        </w:rPr>
        <w:t xml:space="preserve">Ünal Tekeli </w:t>
      </w:r>
      <w:r w:rsidR="00E57909" w:rsidRPr="00E57909">
        <w:t xml:space="preserve">et </w:t>
      </w:r>
      <w:r w:rsidR="00E57909" w:rsidRPr="00E57909">
        <w:rPr>
          <w:i/>
        </w:rPr>
        <w:t>Losonci Rose et Rose</w:t>
      </w:r>
      <w:r w:rsidR="00E57909" w:rsidRPr="00E57909">
        <w:t>,</w:t>
      </w:r>
      <w:r w:rsidR="00E57909" w:rsidRPr="00E57909">
        <w:rPr>
          <w:i/>
        </w:rPr>
        <w:t xml:space="preserve"> </w:t>
      </w:r>
      <w:r w:rsidR="00E57909" w:rsidRPr="00E57909">
        <w:t>précitées.</w:t>
      </w:r>
      <w:r w:rsidR="00E57909">
        <w:t xml:space="preserve"> La première concernait </w:t>
      </w:r>
      <w:r w:rsidR="00E57909" w:rsidRPr="00E57909">
        <w:t>le</w:t>
      </w:r>
      <w:r w:rsidR="00860253" w:rsidRPr="00E57909">
        <w:t xml:space="preserve"> refus </w:t>
      </w:r>
      <w:r w:rsidR="00B3102A">
        <w:t xml:space="preserve">opposé à une </w:t>
      </w:r>
      <w:r w:rsidR="00860253" w:rsidRPr="00E57909">
        <w:t xml:space="preserve">demande du mari </w:t>
      </w:r>
      <w:r w:rsidR="00B3102A">
        <w:t xml:space="preserve">qui souhaitait </w:t>
      </w:r>
      <w:r w:rsidR="00860253" w:rsidRPr="00E57909">
        <w:t>faire précéder le nom de famille, en l</w:t>
      </w:r>
      <w:r w:rsidR="00785BC1">
        <w:t>’</w:t>
      </w:r>
      <w:r w:rsidR="00860253" w:rsidRPr="00E57909">
        <w:t>occurrence celui de son épouse, du sien propre</w:t>
      </w:r>
      <w:r w:rsidR="00BE121D">
        <w:t>. L</w:t>
      </w:r>
      <w:r w:rsidR="00E57909" w:rsidRPr="00E57909">
        <w:t xml:space="preserve">a deuxième avait pour objet la règle de droit turc selon laquelle </w:t>
      </w:r>
      <w:r w:rsidR="00860253" w:rsidRPr="00E57909">
        <w:t>la femme mariée ne peut porter exclusivement son nom de jeune fille après le mariage, alors que l</w:t>
      </w:r>
      <w:r w:rsidR="00785BC1">
        <w:t>’</w:t>
      </w:r>
      <w:r w:rsidR="00860253" w:rsidRPr="00E57909">
        <w:t>homme marié garde son nom de famille tel qu</w:t>
      </w:r>
      <w:r w:rsidR="00785BC1">
        <w:t>’</w:t>
      </w:r>
      <w:r w:rsidR="00860253" w:rsidRPr="00E57909">
        <w:t>il était avant le mariage</w:t>
      </w:r>
      <w:r w:rsidR="00BE121D">
        <w:t>. L</w:t>
      </w:r>
      <w:r w:rsidR="00785BC1">
        <w:t>’</w:t>
      </w:r>
      <w:r w:rsidR="00056CD4" w:rsidRPr="00056CD4">
        <w:t xml:space="preserve">affaire </w:t>
      </w:r>
      <w:r w:rsidR="00056CD4" w:rsidRPr="00E57909">
        <w:rPr>
          <w:i/>
        </w:rPr>
        <w:t>Losonci Rose et Rose</w:t>
      </w:r>
      <w:r w:rsidR="00056CD4">
        <w:rPr>
          <w:i/>
        </w:rPr>
        <w:t xml:space="preserve"> </w:t>
      </w:r>
      <w:r w:rsidR="00056CD4">
        <w:t>portait sur la n</w:t>
      </w:r>
      <w:r w:rsidR="00860253" w:rsidRPr="00056CD4">
        <w:t xml:space="preserve">écessité, en droit suisse, de soumettre une demande commune aux autorités </w:t>
      </w:r>
      <w:r w:rsidR="00DF5A34">
        <w:t>pour les époux souhaitant</w:t>
      </w:r>
      <w:r w:rsidR="00AE7F2E">
        <w:t xml:space="preserve"> </w:t>
      </w:r>
      <w:r w:rsidR="00DF5A34">
        <w:t xml:space="preserve">prendre tous deux </w:t>
      </w:r>
      <w:r w:rsidR="00AE7F2E">
        <w:t>le nom de la femme</w:t>
      </w:r>
      <w:r w:rsidR="00860253" w:rsidRPr="00056CD4">
        <w:t xml:space="preserve">, </w:t>
      </w:r>
      <w:r w:rsidR="00125C43">
        <w:t xml:space="preserve">le nom du mari </w:t>
      </w:r>
      <w:r w:rsidR="00AE7F2E">
        <w:t xml:space="preserve">leur étant autrement attribué </w:t>
      </w:r>
      <w:r w:rsidR="00125C43">
        <w:t>par défaut</w:t>
      </w:r>
      <w:r w:rsidR="00DF5A34">
        <w:t xml:space="preserve"> comme nouveau nom de famille après le mariage.</w:t>
      </w:r>
    </w:p>
    <w:p w:rsidR="00E57909" w:rsidRDefault="00E57909" w:rsidP="00E57909">
      <w:pPr>
        <w:pStyle w:val="JuPara"/>
      </w:pPr>
      <w:r w:rsidRPr="00E57909">
        <w:fldChar w:fldCharType="begin"/>
      </w:r>
      <w:r w:rsidRPr="00E57909">
        <w:instrText xml:space="preserve"> SEQ level0 \*arabic </w:instrText>
      </w:r>
      <w:r w:rsidRPr="00E57909">
        <w:fldChar w:fldCharType="separate"/>
      </w:r>
      <w:r w:rsidR="00152465">
        <w:rPr>
          <w:noProof/>
        </w:rPr>
        <w:t>66</w:t>
      </w:r>
      <w:r w:rsidRPr="00E57909">
        <w:fldChar w:fldCharType="end"/>
      </w:r>
      <w:r w:rsidRPr="00E57909">
        <w:t>.  Dans toutes ces affaire</w:t>
      </w:r>
      <w:r>
        <w:t>s</w:t>
      </w:r>
      <w:r w:rsidRPr="00E57909">
        <w:t>, la Cour a conclu à la violation de l</w:t>
      </w:r>
      <w:r w:rsidR="00785BC1">
        <w:t>’</w:t>
      </w:r>
      <w:r w:rsidRPr="00E57909">
        <w:t>article 14 de la Convention, combiné avec l</w:t>
      </w:r>
      <w:r w:rsidR="00785BC1">
        <w:t>’</w:t>
      </w:r>
      <w:r w:rsidRPr="00E57909">
        <w:t>article 8</w:t>
      </w:r>
      <w:r>
        <w:t xml:space="preserve">. </w:t>
      </w:r>
      <w:r w:rsidRPr="00E57909">
        <w:t>Elle</w:t>
      </w:r>
      <w:r w:rsidR="00860253" w:rsidRPr="00E57909">
        <w:t xml:space="preserve"> a</w:t>
      </w:r>
      <w:r w:rsidRPr="00E57909">
        <w:t xml:space="preserve"> notamment</w:t>
      </w:r>
      <w:r w:rsidR="00860253" w:rsidRPr="00E57909">
        <w:t xml:space="preserve"> rappelé l</w:t>
      </w:r>
      <w:r w:rsidR="00785BC1">
        <w:t>’</w:t>
      </w:r>
      <w:r w:rsidR="00860253" w:rsidRPr="00E57909">
        <w:t>importance d</w:t>
      </w:r>
      <w:r w:rsidR="00785BC1">
        <w:t>’</w:t>
      </w:r>
      <w:r w:rsidR="00860253" w:rsidRPr="00E57909">
        <w:t>une progression vers l</w:t>
      </w:r>
      <w:r w:rsidR="00785BC1">
        <w:t>’</w:t>
      </w:r>
      <w:r w:rsidR="00860253" w:rsidRPr="00E57909">
        <w:t>égalité des sexes et de l</w:t>
      </w:r>
      <w:r w:rsidR="00785BC1">
        <w:t>’</w:t>
      </w:r>
      <w:r w:rsidR="00860253" w:rsidRPr="00E57909">
        <w:t>élimination de toute discrimination fondée sur le sexe dans le choix du nom de famille. Elle a en outre estimé que la tradition de manifester l</w:t>
      </w:r>
      <w:r w:rsidR="00785BC1">
        <w:t>’</w:t>
      </w:r>
      <w:r w:rsidR="00860253" w:rsidRPr="00E57909">
        <w:t xml:space="preserve">unité de la famille à travers </w:t>
      </w:r>
      <w:r w:rsidR="00B571D9">
        <w:t>l</w:t>
      </w:r>
      <w:r w:rsidR="00785BC1">
        <w:t>’</w:t>
      </w:r>
      <w:r w:rsidR="00B571D9">
        <w:t xml:space="preserve">attribution à tous ses membres du </w:t>
      </w:r>
      <w:r w:rsidR="0001342E">
        <w:t>nom</w:t>
      </w:r>
      <w:r w:rsidR="00860253" w:rsidRPr="00E57909">
        <w:t xml:space="preserve"> de l</w:t>
      </w:r>
      <w:r w:rsidR="00785BC1">
        <w:t>’</w:t>
      </w:r>
      <w:r w:rsidR="00860253" w:rsidRPr="00E57909">
        <w:t xml:space="preserve">époux ne pouvait justifier une discrimination envers les femmes (voir, notamment, </w:t>
      </w:r>
      <w:r w:rsidR="00860253" w:rsidRPr="00E57909">
        <w:rPr>
          <w:i/>
        </w:rPr>
        <w:t>Ünal Tekeli</w:t>
      </w:r>
      <w:r w:rsidR="00860253" w:rsidRPr="00E57909">
        <w:t>,</w:t>
      </w:r>
      <w:r w:rsidR="00860253" w:rsidRPr="00E57909">
        <w:rPr>
          <w:i/>
        </w:rPr>
        <w:t xml:space="preserve"> </w:t>
      </w:r>
      <w:r w:rsidR="00860253" w:rsidRPr="00E57909">
        <w:t>précité, §§</w:t>
      </w:r>
      <w:r w:rsidR="00056CD4">
        <w:t> </w:t>
      </w:r>
      <w:r w:rsidR="00860253" w:rsidRPr="00E57909">
        <w:t>64-65).</w:t>
      </w:r>
    </w:p>
    <w:p w:rsidR="00647E9B" w:rsidRDefault="00E57909" w:rsidP="00E57909">
      <w:pPr>
        <w:pStyle w:val="JuPara"/>
      </w:pPr>
      <w:r w:rsidRPr="008D564A">
        <w:fldChar w:fldCharType="begin"/>
      </w:r>
      <w:r w:rsidRPr="008D564A">
        <w:instrText xml:space="preserve"> SEQ level0 \*arabic </w:instrText>
      </w:r>
      <w:r w:rsidRPr="008D564A">
        <w:fldChar w:fldCharType="separate"/>
      </w:r>
      <w:r w:rsidR="00152465">
        <w:rPr>
          <w:noProof/>
        </w:rPr>
        <w:t>67</w:t>
      </w:r>
      <w:r w:rsidRPr="008D564A">
        <w:fldChar w:fldCharType="end"/>
      </w:r>
      <w:r w:rsidRPr="008D564A">
        <w:t xml:space="preserve">.  La Cour ne peut que parvenir à des conclusions analogues </w:t>
      </w:r>
      <w:r w:rsidR="0001342E">
        <w:t>dans la présente affaire</w:t>
      </w:r>
      <w:r w:rsidRPr="008D564A">
        <w:t>, où la</w:t>
      </w:r>
      <w:r w:rsidR="00014EE9">
        <w:t xml:space="preserve"> déterminat</w:t>
      </w:r>
      <w:r w:rsidRPr="008D564A">
        <w:t xml:space="preserve">ion du nom de famille </w:t>
      </w:r>
      <w:r w:rsidR="00014EE9">
        <w:t xml:space="preserve">des </w:t>
      </w:r>
      <w:r w:rsidR="007A22FD" w:rsidRPr="00110305">
        <w:t>« </w:t>
      </w:r>
      <w:r w:rsidR="007A22FD">
        <w:t>enfants légitimes</w:t>
      </w:r>
      <w:r w:rsidR="007A22FD" w:rsidRPr="00110305">
        <w:t> »</w:t>
      </w:r>
      <w:r w:rsidRPr="008D564A">
        <w:t xml:space="preserve"> </w:t>
      </w:r>
      <w:r w:rsidR="0001342E">
        <w:t>s</w:t>
      </w:r>
      <w:r w:rsidR="00785BC1">
        <w:t>’</w:t>
      </w:r>
      <w:r w:rsidR="0001342E">
        <w:t>est faite</w:t>
      </w:r>
      <w:r w:rsidR="00B747BA">
        <w:t xml:space="preserve"> uniquement sur la base</w:t>
      </w:r>
      <w:r w:rsidR="00014EE9">
        <w:t xml:space="preserve"> d</w:t>
      </w:r>
      <w:r w:rsidR="00785BC1">
        <w:t>’</w:t>
      </w:r>
      <w:r w:rsidRPr="008D564A">
        <w:t>une discrimination fondée sur le sexe des parents.</w:t>
      </w:r>
      <w:r w:rsidR="00D14DBD">
        <w:t xml:space="preserve"> L</w:t>
      </w:r>
      <w:r w:rsidR="0001342E">
        <w:t xml:space="preserve">a règle </w:t>
      </w:r>
      <w:r w:rsidR="00553718">
        <w:t>en cause</w:t>
      </w:r>
      <w:r w:rsidR="0001342E">
        <w:t xml:space="preserve"> veut en effet que l</w:t>
      </w:r>
      <w:r w:rsidR="00D14DBD">
        <w:t xml:space="preserve">e nom attribué </w:t>
      </w:r>
      <w:r w:rsidR="0001342E">
        <w:t xml:space="preserve">soit, sans exception, </w:t>
      </w:r>
      <w:r w:rsidR="00D14DBD">
        <w:t xml:space="preserve">celui du père, </w:t>
      </w:r>
      <w:r w:rsidR="00014EE9">
        <w:t xml:space="preserve">nonobstant toute volonté </w:t>
      </w:r>
      <w:r w:rsidR="00D14DBD">
        <w:t>différente commune aux époux.</w:t>
      </w:r>
      <w:r w:rsidRPr="008D564A">
        <w:t xml:space="preserve"> </w:t>
      </w:r>
      <w:r w:rsidR="00860253" w:rsidRPr="008D564A">
        <w:t>Par ailleurs, la Cour constitutionnelle italienne elle</w:t>
      </w:r>
      <w:r w:rsidR="00787BD7">
        <w:noBreakHyphen/>
      </w:r>
      <w:r w:rsidR="00860253" w:rsidRPr="008D564A">
        <w:t xml:space="preserve">même a reconnu que le système en vigueur </w:t>
      </w:r>
      <w:r w:rsidR="00014EE9">
        <w:t>p</w:t>
      </w:r>
      <w:r w:rsidR="00014EE9" w:rsidRPr="008D564A">
        <w:t>r</w:t>
      </w:r>
      <w:r w:rsidR="00014EE9">
        <w:t>ocèd</w:t>
      </w:r>
      <w:r w:rsidR="00014EE9" w:rsidRPr="008D564A">
        <w:t xml:space="preserve">e </w:t>
      </w:r>
      <w:r w:rsidR="00860253" w:rsidRPr="008D564A">
        <w:t>d</w:t>
      </w:r>
      <w:r w:rsidR="00785BC1">
        <w:t>’</w:t>
      </w:r>
      <w:r w:rsidR="00860253" w:rsidRPr="008D564A">
        <w:t>une conception patriarcale de la famille et des pouvoirs du mari, qui n</w:t>
      </w:r>
      <w:r w:rsidR="00785BC1">
        <w:t>’</w:t>
      </w:r>
      <w:r w:rsidRPr="008D564A">
        <w:t>est</w:t>
      </w:r>
      <w:r w:rsidR="00860253" w:rsidRPr="008D564A">
        <w:t xml:space="preserve"> plus compatible avec le principe constitutionnel de l</w:t>
      </w:r>
      <w:r w:rsidR="00785BC1">
        <w:t>’</w:t>
      </w:r>
      <w:r w:rsidR="00860253" w:rsidRPr="008D564A">
        <w:t>égalité entre homme et femme</w:t>
      </w:r>
      <w:r w:rsidRPr="008D564A">
        <w:t xml:space="preserve"> (paragraphe 17 ci-dessus)</w:t>
      </w:r>
      <w:r w:rsidR="00860253" w:rsidRPr="008D564A">
        <w:t>.</w:t>
      </w:r>
      <w:r w:rsidR="008D564A" w:rsidRPr="008D564A">
        <w:t xml:space="preserve"> La Cour de cassation </w:t>
      </w:r>
      <w:r w:rsidR="00014EE9">
        <w:t>l</w:t>
      </w:r>
      <w:r w:rsidR="00785BC1">
        <w:t>’</w:t>
      </w:r>
      <w:r w:rsidR="008D564A" w:rsidRPr="008D564A">
        <w:t>a confirmé (paragraphe</w:t>
      </w:r>
      <w:r w:rsidR="00787BD7">
        <w:t> </w:t>
      </w:r>
      <w:r w:rsidR="008D564A" w:rsidRPr="008D564A">
        <w:t>20 ci</w:t>
      </w:r>
      <w:r w:rsidR="00787BD7">
        <w:noBreakHyphen/>
      </w:r>
      <w:r w:rsidR="008D564A" w:rsidRPr="008D564A">
        <w:t>dessus).</w:t>
      </w:r>
      <w:r w:rsidR="00860253" w:rsidRPr="008D564A">
        <w:t xml:space="preserve"> Si la règle voulant que le nom du mari soit attribué aux </w:t>
      </w:r>
      <w:r w:rsidR="007A22FD" w:rsidRPr="00110305">
        <w:t>« </w:t>
      </w:r>
      <w:r w:rsidR="007A22FD">
        <w:t>enfants légitimes</w:t>
      </w:r>
      <w:r w:rsidR="007A22FD" w:rsidRPr="00110305">
        <w:t> »</w:t>
      </w:r>
      <w:r w:rsidR="00860253" w:rsidRPr="008D564A">
        <w:t xml:space="preserve"> peut s</w:t>
      </w:r>
      <w:r w:rsidR="00785BC1">
        <w:t>’</w:t>
      </w:r>
      <w:r w:rsidR="00860253" w:rsidRPr="008D564A">
        <w:t>avérer nécessaire en pratique et n</w:t>
      </w:r>
      <w:r w:rsidR="00785BC1">
        <w:t>’</w:t>
      </w:r>
      <w:r w:rsidR="00860253" w:rsidRPr="008D564A">
        <w:t>e</w:t>
      </w:r>
      <w:r w:rsidR="00014EE9">
        <w:t>st</w:t>
      </w:r>
      <w:r w:rsidR="00860253" w:rsidRPr="008D564A">
        <w:t xml:space="preserve"> pas </w:t>
      </w:r>
      <w:r w:rsidR="00014EE9">
        <w:t>forc</w:t>
      </w:r>
      <w:r w:rsidR="00860253" w:rsidRPr="008D564A">
        <w:t xml:space="preserve">ément en contradiction avec la Convention (voir, </w:t>
      </w:r>
      <w:r w:rsidR="00860253" w:rsidRPr="008D564A">
        <w:rPr>
          <w:i/>
        </w:rPr>
        <w:t>mutatis mutandis</w:t>
      </w:r>
      <w:r w:rsidR="00860253" w:rsidRPr="008D564A">
        <w:t xml:space="preserve">, </w:t>
      </w:r>
      <w:r w:rsidR="00860253" w:rsidRPr="008D564A">
        <w:rPr>
          <w:i/>
        </w:rPr>
        <w:t>Losonci Rose et Rose</w:t>
      </w:r>
      <w:r w:rsidR="00860253" w:rsidRPr="008D564A">
        <w:t>, précité, § 49), l</w:t>
      </w:r>
      <w:r w:rsidR="00785BC1">
        <w:t>’</w:t>
      </w:r>
      <w:r w:rsidR="00860253" w:rsidRPr="008D564A">
        <w:t>impossibilité d</w:t>
      </w:r>
      <w:r w:rsidR="00785BC1">
        <w:t>’</w:t>
      </w:r>
      <w:r w:rsidR="00860253" w:rsidRPr="008D564A">
        <w:t xml:space="preserve">y déroger </w:t>
      </w:r>
      <w:r w:rsidR="008D564A">
        <w:t>lors de l</w:t>
      </w:r>
      <w:r w:rsidR="00785BC1">
        <w:t>’</w:t>
      </w:r>
      <w:r w:rsidR="008D564A">
        <w:t>inscription des nouveau-nés dans les registres d</w:t>
      </w:r>
      <w:r w:rsidR="00785BC1">
        <w:t>’</w:t>
      </w:r>
      <w:r w:rsidR="008D564A">
        <w:t xml:space="preserve">état civil </w:t>
      </w:r>
      <w:r w:rsidRPr="008D564A">
        <w:t>est</w:t>
      </w:r>
      <w:r w:rsidR="00860253" w:rsidRPr="008D564A">
        <w:t xml:space="preserve"> excessivement rigide et discriminatoire envers </w:t>
      </w:r>
      <w:r w:rsidR="00014EE9">
        <w:t>l</w:t>
      </w:r>
      <w:r w:rsidR="00860253" w:rsidRPr="008D564A">
        <w:t>es femmes.</w:t>
      </w:r>
    </w:p>
    <w:p w:rsidR="00B21B7E" w:rsidRDefault="00B21B7E" w:rsidP="00B21B7E">
      <w:pPr>
        <w:pStyle w:val="JuHi"/>
      </w:pPr>
      <w:r>
        <w:t>iv.  Conclusion</w:t>
      </w:r>
      <w:r w:rsidR="00860253">
        <w:tab/>
      </w:r>
    </w:p>
    <w:p w:rsidR="00540CFD" w:rsidRDefault="00011742" w:rsidP="00A95C78">
      <w:pPr>
        <w:pStyle w:val="JuPara"/>
      </w:pPr>
      <w:r>
        <w:fldChar w:fldCharType="begin"/>
      </w:r>
      <w:r>
        <w:instrText xml:space="preserve"> SEQ level0 \*arabic </w:instrText>
      </w:r>
      <w:r>
        <w:fldChar w:fldCharType="separate"/>
      </w:r>
      <w:r w:rsidR="00152465">
        <w:rPr>
          <w:noProof/>
        </w:rPr>
        <w:t>68</w:t>
      </w:r>
      <w:r>
        <w:fldChar w:fldCharType="end"/>
      </w:r>
      <w:r>
        <w:t>.  </w:t>
      </w:r>
      <w:r w:rsidR="00B21B7E" w:rsidRPr="00B21B7E">
        <w:t>Compte tenu de ce qui précède, la justification avancée par le Gouvernement ne paraît pas raisonnable et la diffé</w:t>
      </w:r>
      <w:r w:rsidR="00870EE5">
        <w:t>rence de traitement constatée s</w:t>
      </w:r>
      <w:r w:rsidR="00785BC1">
        <w:t>’</w:t>
      </w:r>
      <w:r w:rsidR="00B21B7E" w:rsidRPr="00B21B7E">
        <w:t>avè</w:t>
      </w:r>
      <w:r w:rsidR="00870EE5">
        <w:t>re</w:t>
      </w:r>
      <w:r w:rsidR="00902F83">
        <w:t xml:space="preserve"> ainsi</w:t>
      </w:r>
      <w:r w:rsidR="00870EE5">
        <w:t xml:space="preserve"> discriminatoire au sens de l</w:t>
      </w:r>
      <w:r w:rsidR="00785BC1">
        <w:t>’</w:t>
      </w:r>
      <w:r w:rsidR="00B21B7E" w:rsidRPr="00B21B7E">
        <w:t>article 14 de la Convention</w:t>
      </w:r>
      <w:r w:rsidR="00870EE5">
        <w:t>. Il y a donc eu violation de l</w:t>
      </w:r>
      <w:r w:rsidR="00785BC1">
        <w:t>’</w:t>
      </w:r>
      <w:r w:rsidR="00870EE5">
        <w:t>article 14 combiné avec l</w:t>
      </w:r>
      <w:r w:rsidR="00785BC1">
        <w:t>’</w:t>
      </w:r>
      <w:r w:rsidR="00B21B7E" w:rsidRPr="00B21B7E">
        <w:t>article</w:t>
      </w:r>
      <w:r w:rsidR="00737DFB">
        <w:t> </w:t>
      </w:r>
      <w:r w:rsidR="00B21B7E" w:rsidRPr="00B21B7E">
        <w:t>8 de la Convention.</w:t>
      </w:r>
    </w:p>
    <w:p w:rsidR="002D70E0" w:rsidRDefault="00540CFD" w:rsidP="00A95C78">
      <w:pPr>
        <w:pStyle w:val="JuPara"/>
      </w:pPr>
      <w:r>
        <w:fldChar w:fldCharType="begin"/>
      </w:r>
      <w:r>
        <w:instrText xml:space="preserve"> SEQ level0 \*arabic </w:instrText>
      </w:r>
      <w:r>
        <w:fldChar w:fldCharType="separate"/>
      </w:r>
      <w:r w:rsidR="00152465">
        <w:rPr>
          <w:noProof/>
        </w:rPr>
        <w:t>69</w:t>
      </w:r>
      <w:r>
        <w:fldChar w:fldCharType="end"/>
      </w:r>
      <w:r>
        <w:t>.  Eu égard à cette conclusion, la Cour ne juge pas nécessaire de rechercher s</w:t>
      </w:r>
      <w:r w:rsidR="00785BC1">
        <w:t>’</w:t>
      </w:r>
      <w:r>
        <w:t>il y a eu aussi violation de l</w:t>
      </w:r>
      <w:r w:rsidR="00785BC1">
        <w:t>’</w:t>
      </w:r>
      <w:r>
        <w:t>article 8 pris isolément (</w:t>
      </w:r>
      <w:r w:rsidRPr="000474B6">
        <w:rPr>
          <w:i/>
        </w:rPr>
        <w:t>Burghartz</w:t>
      </w:r>
      <w:r>
        <w:t>,</w:t>
      </w:r>
      <w:r>
        <w:rPr>
          <w:i/>
        </w:rPr>
        <w:t xml:space="preserve"> </w:t>
      </w:r>
      <w:r>
        <w:t xml:space="preserve">précité, § 30, et </w:t>
      </w:r>
      <w:r w:rsidRPr="000474B6">
        <w:rPr>
          <w:i/>
        </w:rPr>
        <w:t>Ünal Tekeli</w:t>
      </w:r>
      <w:r>
        <w:t>,</w:t>
      </w:r>
      <w:r>
        <w:rPr>
          <w:i/>
        </w:rPr>
        <w:t xml:space="preserve"> </w:t>
      </w:r>
      <w:r>
        <w:t>précité, § 69).</w:t>
      </w:r>
    </w:p>
    <w:p w:rsidR="00870EE5" w:rsidRDefault="00870EE5">
      <w:pPr>
        <w:pStyle w:val="JuHIRoman"/>
      </w:pPr>
      <w:r>
        <w:t>II.  </w:t>
      </w:r>
      <w:r w:rsidRPr="00110305">
        <w:t xml:space="preserve">SUR LA VIOLATION ALLÉGUÉE DE </w:t>
      </w:r>
      <w:r>
        <w:t>L</w:t>
      </w:r>
      <w:r w:rsidR="00785BC1">
        <w:t>’</w:t>
      </w:r>
      <w:r w:rsidRPr="00110305">
        <w:t xml:space="preserve">ARTICLE </w:t>
      </w:r>
      <w:r>
        <w:t>5 DU PROTOCOLE N</w:t>
      </w:r>
      <w:r w:rsidR="0010731F" w:rsidRPr="0010731F">
        <w:rPr>
          <w:vertAlign w:val="superscript"/>
        </w:rPr>
        <w:t>o</w:t>
      </w:r>
      <w:r>
        <w:t xml:space="preserve"> 7, SEUL OU LU EN CONJONCTION AVEC L</w:t>
      </w:r>
      <w:r w:rsidR="00785BC1">
        <w:t>’</w:t>
      </w:r>
      <w:r>
        <w:t>ARTICLE 14 DE LA CONVENTION</w:t>
      </w:r>
    </w:p>
    <w:p w:rsidR="00870EE5" w:rsidRDefault="00870EE5" w:rsidP="00870EE5">
      <w:pPr>
        <w:pStyle w:val="JuPara"/>
      </w:pPr>
      <w:r>
        <w:fldChar w:fldCharType="begin"/>
      </w:r>
      <w:r>
        <w:instrText xml:space="preserve"> SEQ level0 \*arabic </w:instrText>
      </w:r>
      <w:r>
        <w:fldChar w:fldCharType="separate"/>
      </w:r>
      <w:r w:rsidR="00152465">
        <w:rPr>
          <w:noProof/>
        </w:rPr>
        <w:t>70</w:t>
      </w:r>
      <w:r>
        <w:fldChar w:fldCharType="end"/>
      </w:r>
      <w:r>
        <w:t xml:space="preserve">.  Les requérants considèrent que les dispositions légales en vigueur en matière </w:t>
      </w:r>
      <w:r w:rsidR="00883CD6">
        <w:t xml:space="preserve">de détermination </w:t>
      </w:r>
      <w:r>
        <w:t xml:space="preserve">du nom </w:t>
      </w:r>
      <w:r w:rsidR="00883CD6">
        <w:t xml:space="preserve">des </w:t>
      </w:r>
      <w:r w:rsidR="00E9620B" w:rsidRPr="00110305">
        <w:t>« </w:t>
      </w:r>
      <w:r w:rsidR="00E9620B">
        <w:t>enfants légitimes</w:t>
      </w:r>
      <w:r w:rsidR="00E9620B" w:rsidRPr="00110305">
        <w:t> »</w:t>
      </w:r>
      <w:r w:rsidR="00E9620B">
        <w:t xml:space="preserve"> </w:t>
      </w:r>
      <w:r w:rsidR="003A6282">
        <w:t>ne garantissent</w:t>
      </w:r>
      <w:r>
        <w:t xml:space="preserve"> pas l</w:t>
      </w:r>
      <w:r w:rsidR="00785BC1">
        <w:t>’</w:t>
      </w:r>
      <w:r>
        <w:t>égalité entre les époux</w:t>
      </w:r>
      <w:r w:rsidR="00883CD6">
        <w:t>,</w:t>
      </w:r>
      <w:r>
        <w:t xml:space="preserve"> et que l</w:t>
      </w:r>
      <w:r w:rsidR="00785BC1">
        <w:t>’</w:t>
      </w:r>
      <w:r>
        <w:t>Italie aurait dû prévoir la possibilité d</w:t>
      </w:r>
      <w:r w:rsidR="00785BC1">
        <w:t>’</w:t>
      </w:r>
      <w:r>
        <w:t>attribuer le nom de la mère en cas de consensus des parents sur ce point.</w:t>
      </w:r>
    </w:p>
    <w:p w:rsidR="00870EE5" w:rsidRDefault="00870EE5" w:rsidP="00870EE5">
      <w:pPr>
        <w:pStyle w:val="JuPara"/>
      </w:pPr>
      <w:r>
        <w:t>Ils invoquent l</w:t>
      </w:r>
      <w:r w:rsidR="00785BC1">
        <w:t>’</w:t>
      </w:r>
      <w:r>
        <w:t>article 5 du Protocole n</w:t>
      </w:r>
      <w:r w:rsidR="0010731F" w:rsidRPr="0010731F">
        <w:rPr>
          <w:vertAlign w:val="superscript"/>
        </w:rPr>
        <w:t>o</w:t>
      </w:r>
      <w:r>
        <w:t xml:space="preserve"> 7, seul ou lu en conjonction avec l</w:t>
      </w:r>
      <w:r w:rsidR="00785BC1">
        <w:t>’</w:t>
      </w:r>
      <w:r>
        <w:t>article 14 de la Convention.</w:t>
      </w:r>
    </w:p>
    <w:p w:rsidR="00870EE5" w:rsidRDefault="00870EE5" w:rsidP="00870EE5">
      <w:pPr>
        <w:pStyle w:val="JuPara"/>
      </w:pPr>
      <w:r>
        <w:t>L</w:t>
      </w:r>
      <w:r w:rsidR="00785BC1">
        <w:t>’</w:t>
      </w:r>
      <w:r>
        <w:t>article 5 précité se lit ainsi :</w:t>
      </w:r>
    </w:p>
    <w:p w:rsidR="002D70E0" w:rsidRDefault="00870EE5" w:rsidP="00870EE5">
      <w:pPr>
        <w:pStyle w:val="JuQuot"/>
      </w:pPr>
      <w:bookmarkStart w:id="1" w:name="_GoBack"/>
      <w:bookmarkEnd w:id="1"/>
      <w:r>
        <w:t>« Les époux jouissent de l</w:t>
      </w:r>
      <w:r w:rsidR="00785BC1">
        <w:t>’</w:t>
      </w:r>
      <w:r>
        <w:t>égalité de droits et de responsabilités de caractère civil entre eux et dans leurs relations avec leurs enfants au regard du mariage, durant le mariage et lors de sa dissolution. Le présent article n</w:t>
      </w:r>
      <w:r w:rsidR="00785BC1">
        <w:t>’</w:t>
      </w:r>
      <w:r>
        <w:t xml:space="preserve">empêche pas les </w:t>
      </w:r>
      <w:r w:rsidR="00737DFB">
        <w:t>États</w:t>
      </w:r>
      <w:r>
        <w:t xml:space="preserve"> de prendre les mesures nécessaires dans l</w:t>
      </w:r>
      <w:r w:rsidR="00785BC1">
        <w:t>’</w:t>
      </w:r>
      <w:r>
        <w:t>intérêt des enfants. »</w:t>
      </w:r>
    </w:p>
    <w:p w:rsidR="002D70E0" w:rsidRDefault="00870EE5" w:rsidP="00870EE5">
      <w:pPr>
        <w:pStyle w:val="JuPara"/>
      </w:pPr>
      <w:r>
        <w:fldChar w:fldCharType="begin"/>
      </w:r>
      <w:r>
        <w:instrText xml:space="preserve"> SEQ level0 \*arabic </w:instrText>
      </w:r>
      <w:r>
        <w:fldChar w:fldCharType="separate"/>
      </w:r>
      <w:r w:rsidR="00152465">
        <w:rPr>
          <w:noProof/>
        </w:rPr>
        <w:t>71</w:t>
      </w:r>
      <w:r>
        <w:fldChar w:fldCharType="end"/>
      </w:r>
      <w:r>
        <w:t xml:space="preserve">.  Le Gouvernement </w:t>
      </w:r>
      <w:r w:rsidR="005513B4">
        <w:t>combat</w:t>
      </w:r>
      <w:r>
        <w:t xml:space="preserve"> cette thèse.</w:t>
      </w:r>
    </w:p>
    <w:p w:rsidR="00687CDA" w:rsidRPr="00110305" w:rsidRDefault="00687CDA" w:rsidP="00687CDA">
      <w:pPr>
        <w:pStyle w:val="JuPara"/>
      </w:pPr>
      <w:r>
        <w:fldChar w:fldCharType="begin"/>
      </w:r>
      <w:r>
        <w:instrText xml:space="preserve"> SEQ level0 \*arabic </w:instrText>
      </w:r>
      <w:r>
        <w:fldChar w:fldCharType="separate"/>
      </w:r>
      <w:r w:rsidR="00152465">
        <w:rPr>
          <w:noProof/>
        </w:rPr>
        <w:t>72</w:t>
      </w:r>
      <w:r>
        <w:fldChar w:fldCharType="end"/>
      </w:r>
      <w:r>
        <w:t>.  </w:t>
      </w:r>
      <w:r w:rsidRPr="00685582">
        <w:t>La Cour relève que ce grief est lié à celui examiné ci-dessus et doit donc aussi être déclaré recevable.</w:t>
      </w:r>
    </w:p>
    <w:p w:rsidR="00870EE5" w:rsidRDefault="00687CDA" w:rsidP="00687CDA">
      <w:pPr>
        <w:pStyle w:val="JuPara"/>
      </w:pPr>
      <w:r>
        <w:fldChar w:fldCharType="begin"/>
      </w:r>
      <w:r>
        <w:instrText xml:space="preserve"> SEQ level0 \*arabic </w:instrText>
      </w:r>
      <w:r>
        <w:fldChar w:fldCharType="separate"/>
      </w:r>
      <w:r w:rsidR="00152465">
        <w:rPr>
          <w:noProof/>
        </w:rPr>
        <w:t>73</w:t>
      </w:r>
      <w:r>
        <w:fldChar w:fldCharType="end"/>
      </w:r>
      <w:r>
        <w:t>.  Eu égard à la conclusion à laquelle elle est parvenue sous l</w:t>
      </w:r>
      <w:r w:rsidR="00785BC1">
        <w:t>’</w:t>
      </w:r>
      <w:r>
        <w:t>angle de l</w:t>
      </w:r>
      <w:r w:rsidR="00785BC1">
        <w:t>’</w:t>
      </w:r>
      <w:r>
        <w:t>article 14 combiné avec l</w:t>
      </w:r>
      <w:r w:rsidR="00785BC1">
        <w:t>’</w:t>
      </w:r>
      <w:r>
        <w:t>article 8 de la Convention, la Cour ne juge pas nécessaire de rechercher s</w:t>
      </w:r>
      <w:r w:rsidR="00785BC1">
        <w:t>’</w:t>
      </w:r>
      <w:r>
        <w:t>il y a eu aussi violation de l</w:t>
      </w:r>
      <w:r w:rsidR="00785BC1">
        <w:t>’</w:t>
      </w:r>
      <w:r>
        <w:t>article 14 combiné avec l</w:t>
      </w:r>
      <w:r w:rsidR="00785BC1">
        <w:t>’</w:t>
      </w:r>
      <w:r>
        <w:t>article 5 du Protocole n</w:t>
      </w:r>
      <w:r w:rsidR="0010731F" w:rsidRPr="0010731F">
        <w:rPr>
          <w:vertAlign w:val="superscript"/>
        </w:rPr>
        <w:t>o</w:t>
      </w:r>
      <w:r>
        <w:t xml:space="preserve"> 7</w:t>
      </w:r>
      <w:r w:rsidR="00883CD6">
        <w:t>,</w:t>
      </w:r>
      <w:r>
        <w:t xml:space="preserve"> ou de cette dernière disposition prise isolément.</w:t>
      </w:r>
    </w:p>
    <w:p w:rsidR="00EC6427" w:rsidRPr="00110305" w:rsidRDefault="00A95C78">
      <w:pPr>
        <w:pStyle w:val="JuHIRoman"/>
      </w:pPr>
      <w:r>
        <w:t>I</w:t>
      </w:r>
      <w:r w:rsidR="00870EE5">
        <w:t>II</w:t>
      </w:r>
      <w:r w:rsidR="00EC6427" w:rsidRPr="00110305">
        <w:t>.  SUR L</w:t>
      </w:r>
      <w:r w:rsidR="00785BC1">
        <w:t>’</w:t>
      </w:r>
      <w:r w:rsidR="00EC6427" w:rsidRPr="00110305">
        <w:t>APPLICATION DE L</w:t>
      </w:r>
      <w:r w:rsidR="00785BC1">
        <w:t>’</w:t>
      </w:r>
      <w:r w:rsidR="00EC6427" w:rsidRPr="00110305">
        <w:t>ARTICLE 41 DE LA CONVENTION</w:t>
      </w:r>
    </w:p>
    <w:p w:rsidR="00EC6427" w:rsidRPr="00110305" w:rsidRDefault="00110305" w:rsidP="00B33C50">
      <w:pPr>
        <w:pStyle w:val="JuPara"/>
        <w:keepNext/>
        <w:keepLines/>
        <w:outlineLvl w:val="0"/>
      </w:pPr>
      <w:r w:rsidRPr="00110305">
        <w:fldChar w:fldCharType="begin"/>
      </w:r>
      <w:r w:rsidRPr="00110305">
        <w:instrText xml:space="preserve"> SEQ level0 \*arabic </w:instrText>
      </w:r>
      <w:r w:rsidRPr="00110305">
        <w:fldChar w:fldCharType="separate"/>
      </w:r>
      <w:r w:rsidR="00152465">
        <w:rPr>
          <w:noProof/>
        </w:rPr>
        <w:t>74</w:t>
      </w:r>
      <w:r w:rsidRPr="00110305">
        <w:fldChar w:fldCharType="end"/>
      </w:r>
      <w:r w:rsidR="00EC6427" w:rsidRPr="00110305">
        <w:t>.  Aux termes de l</w:t>
      </w:r>
      <w:r w:rsidR="00785BC1">
        <w:t>’</w:t>
      </w:r>
      <w:r w:rsidR="00EC6427" w:rsidRPr="00110305">
        <w:t>article 41 de la Convention,</w:t>
      </w:r>
    </w:p>
    <w:p w:rsidR="00EC6427" w:rsidRPr="00110305" w:rsidRDefault="00EC6427">
      <w:pPr>
        <w:pStyle w:val="JuQuot"/>
        <w:keepNext/>
        <w:keepLines/>
      </w:pPr>
      <w:r w:rsidRPr="00110305">
        <w:t>« Si la Cour déclare qu</w:t>
      </w:r>
      <w:r w:rsidR="00785BC1">
        <w:t>’</w:t>
      </w:r>
      <w:r w:rsidRPr="00110305">
        <w:t>il y a eu violation de la Convention ou de ses Protocoles, et si le droit interne de la Haute Partie contractante ne permet d</w:t>
      </w:r>
      <w:r w:rsidR="00785BC1">
        <w:t>’</w:t>
      </w:r>
      <w:r w:rsidRPr="00110305">
        <w:t>effacer qu</w:t>
      </w:r>
      <w:r w:rsidR="00785BC1">
        <w:t>’</w:t>
      </w:r>
      <w:r w:rsidRPr="00110305">
        <w:t>imparfaitement les conséquences de cette violation, la Cour accorde à la partie lésée, s</w:t>
      </w:r>
      <w:r w:rsidR="00785BC1">
        <w:t>’</w:t>
      </w:r>
      <w:r w:rsidRPr="00110305">
        <w:t>il y a lieu, une satisfaction équitable. »</w:t>
      </w:r>
    </w:p>
    <w:p w:rsidR="00EC6427" w:rsidRDefault="00110305" w:rsidP="009E2D52">
      <w:pPr>
        <w:pStyle w:val="JuPara"/>
      </w:pPr>
      <w:r w:rsidRPr="00110305">
        <w:fldChar w:fldCharType="begin"/>
      </w:r>
      <w:r w:rsidRPr="00110305">
        <w:instrText xml:space="preserve"> SEQ level0 \*arabic </w:instrText>
      </w:r>
      <w:r w:rsidRPr="00110305">
        <w:fldChar w:fldCharType="separate"/>
      </w:r>
      <w:r w:rsidR="00152465">
        <w:rPr>
          <w:noProof/>
        </w:rPr>
        <w:t>75</w:t>
      </w:r>
      <w:r w:rsidRPr="00110305">
        <w:fldChar w:fldCharType="end"/>
      </w:r>
      <w:r w:rsidR="00EC6427" w:rsidRPr="00110305">
        <w:t>.  </w:t>
      </w:r>
      <w:r w:rsidRPr="00110305">
        <w:t>Les requérants</w:t>
      </w:r>
      <w:r w:rsidR="004932DA" w:rsidRPr="00110305">
        <w:t xml:space="preserve"> </w:t>
      </w:r>
      <w:r w:rsidR="00883CD6">
        <w:t>précisent</w:t>
      </w:r>
      <w:r w:rsidR="005E7C6C">
        <w:t xml:space="preserve"> qu</w:t>
      </w:r>
      <w:r w:rsidR="00785BC1">
        <w:t>’</w:t>
      </w:r>
      <w:r w:rsidR="005E7C6C">
        <w:t>ils ne demandent</w:t>
      </w:r>
      <w:r w:rsidR="00EC6427" w:rsidRPr="00110305">
        <w:t xml:space="preserve"> aucune </w:t>
      </w:r>
      <w:r w:rsidR="005E7C6C">
        <w:t>somme au titre du préjudice qu</w:t>
      </w:r>
      <w:r w:rsidR="00785BC1">
        <w:t>’</w:t>
      </w:r>
      <w:r w:rsidR="005E7C6C">
        <w:t xml:space="preserve">ils auraient subi ou pour les </w:t>
      </w:r>
      <w:r w:rsidR="005E7C6C" w:rsidRPr="00110305">
        <w:t>frais et dépens engagés devant les juridictions internes et la Cour</w:t>
      </w:r>
      <w:r w:rsidR="005E7C6C">
        <w:t>, le simple constat d</w:t>
      </w:r>
      <w:r w:rsidR="00785BC1">
        <w:t>’</w:t>
      </w:r>
      <w:r w:rsidR="005E7C6C">
        <w:t>une violation constituant</w:t>
      </w:r>
      <w:r w:rsidR="007C4E56">
        <w:t xml:space="preserve"> à leurs yeux</w:t>
      </w:r>
      <w:r w:rsidR="005E7C6C">
        <w:t>, dans l</w:t>
      </w:r>
      <w:r w:rsidR="003A6282">
        <w:t>es circonstances particulières de l</w:t>
      </w:r>
      <w:r w:rsidR="00785BC1">
        <w:t>’</w:t>
      </w:r>
      <w:r w:rsidR="003A6282">
        <w:t>espèce</w:t>
      </w:r>
      <w:r w:rsidR="005E7C6C">
        <w:t>, une satisfaction équitable suffisante</w:t>
      </w:r>
      <w:r w:rsidR="00EC6427" w:rsidRPr="00110305">
        <w:t>. Partant, la Cour estime qu</w:t>
      </w:r>
      <w:r w:rsidR="00785BC1">
        <w:t>’</w:t>
      </w:r>
      <w:r w:rsidR="00EC6427" w:rsidRPr="00110305">
        <w:t>il n</w:t>
      </w:r>
      <w:r w:rsidR="00785BC1">
        <w:t>’</w:t>
      </w:r>
      <w:r w:rsidR="00EC6427" w:rsidRPr="00110305">
        <w:t xml:space="preserve">y a pas lieu de </w:t>
      </w:r>
      <w:r w:rsidR="003A6282">
        <w:t>se prononcer sur l</w:t>
      </w:r>
      <w:r w:rsidR="00785BC1">
        <w:t>’</w:t>
      </w:r>
      <w:r w:rsidR="003A6282">
        <w:t>application de l</w:t>
      </w:r>
      <w:r w:rsidR="00785BC1">
        <w:t>’</w:t>
      </w:r>
      <w:r w:rsidR="003A6282">
        <w:t>article 41 de la Convention</w:t>
      </w:r>
      <w:r w:rsidR="00EC6427" w:rsidRPr="00110305">
        <w:t>.</w:t>
      </w:r>
    </w:p>
    <w:p w:rsidR="005E7C6C" w:rsidRDefault="005E7C6C" w:rsidP="005E7C6C">
      <w:pPr>
        <w:pStyle w:val="JuHIRoman"/>
      </w:pPr>
      <w:r>
        <w:t>I</w:t>
      </w:r>
      <w:r w:rsidR="00870EE5">
        <w:t>V</w:t>
      </w:r>
      <w:r w:rsidRPr="00110305">
        <w:t>.  SUR L</w:t>
      </w:r>
      <w:r w:rsidR="00785BC1">
        <w:t>’</w:t>
      </w:r>
      <w:r w:rsidRPr="00110305">
        <w:t>APPLICATION DE L</w:t>
      </w:r>
      <w:r w:rsidR="00785BC1">
        <w:t>’</w:t>
      </w:r>
      <w:r w:rsidRPr="00110305">
        <w:t>ARTICLE 4</w:t>
      </w:r>
      <w:r>
        <w:t>6</w:t>
      </w:r>
      <w:r w:rsidRPr="00110305">
        <w:t xml:space="preserve"> DE LA CONVENTION</w:t>
      </w:r>
    </w:p>
    <w:p w:rsidR="002D70E0" w:rsidRDefault="005E7C6C" w:rsidP="009E2D52">
      <w:pPr>
        <w:pStyle w:val="JuPara"/>
      </w:pPr>
      <w:r>
        <w:fldChar w:fldCharType="begin"/>
      </w:r>
      <w:r>
        <w:instrText xml:space="preserve"> SEQ level0 \*arabic </w:instrText>
      </w:r>
      <w:r>
        <w:fldChar w:fldCharType="separate"/>
      </w:r>
      <w:r w:rsidR="00152465">
        <w:rPr>
          <w:noProof/>
        </w:rPr>
        <w:t>76</w:t>
      </w:r>
      <w:r>
        <w:fldChar w:fldCharType="end"/>
      </w:r>
      <w:r>
        <w:t>.  Aux termes de l</w:t>
      </w:r>
      <w:r w:rsidR="00785BC1">
        <w:t>’</w:t>
      </w:r>
      <w:r>
        <w:t>article 46 de la Convention,</w:t>
      </w:r>
    </w:p>
    <w:p w:rsidR="005E7C6C" w:rsidRDefault="005E7C6C">
      <w:pPr>
        <w:pStyle w:val="JuQuot"/>
      </w:pPr>
      <w:r>
        <w:t>« 1.  Les Hautes Parties contractantes s</w:t>
      </w:r>
      <w:r w:rsidR="00785BC1">
        <w:t>’</w:t>
      </w:r>
      <w:r>
        <w:t>engagent à se conformer aux arrêts définitifs de la Cour dans les litiges auxquels elles sont parties.</w:t>
      </w:r>
    </w:p>
    <w:p w:rsidR="005E7C6C" w:rsidRDefault="005E7C6C">
      <w:pPr>
        <w:pStyle w:val="JuQuot"/>
      </w:pPr>
      <w:r>
        <w:t>2.  L</w:t>
      </w:r>
      <w:r w:rsidR="00785BC1">
        <w:t>’</w:t>
      </w:r>
      <w:r>
        <w:t>arrêt définitif de la Cour est transmis au Comité des Ministres qui en surveille l</w:t>
      </w:r>
      <w:r w:rsidR="00785BC1">
        <w:t>’</w:t>
      </w:r>
      <w:r>
        <w:t>exécution.</w:t>
      </w:r>
    </w:p>
    <w:p w:rsidR="002D70E0" w:rsidRDefault="00D2493D" w:rsidP="005E7C6C">
      <w:pPr>
        <w:pStyle w:val="JuQuot"/>
      </w:pPr>
      <w:r>
        <w:t>(</w:t>
      </w:r>
      <w:r w:rsidR="0010731F">
        <w:t>...</w:t>
      </w:r>
      <w:r>
        <w:t>)</w:t>
      </w:r>
      <w:r w:rsidR="005E7C6C">
        <w:t>. »</w:t>
      </w:r>
    </w:p>
    <w:p w:rsidR="002D70E0" w:rsidRDefault="00D2493D" w:rsidP="00922F45">
      <w:pPr>
        <w:pStyle w:val="JuPara"/>
      </w:pPr>
      <w:r>
        <w:fldChar w:fldCharType="begin"/>
      </w:r>
      <w:r>
        <w:instrText xml:space="preserve"> SEQ level0 \*arabic </w:instrText>
      </w:r>
      <w:r>
        <w:fldChar w:fldCharType="separate"/>
      </w:r>
      <w:r w:rsidR="00152465">
        <w:rPr>
          <w:noProof/>
        </w:rPr>
        <w:t>77</w:t>
      </w:r>
      <w:r>
        <w:fldChar w:fldCharType="end"/>
      </w:r>
      <w:r>
        <w:t xml:space="preserve">.  Les requérants </w:t>
      </w:r>
      <w:r w:rsidR="007C4E56">
        <w:t xml:space="preserve">font </w:t>
      </w:r>
      <w:r>
        <w:t>observe</w:t>
      </w:r>
      <w:r w:rsidR="007C4E56">
        <w:t>r</w:t>
      </w:r>
      <w:r>
        <w:t xml:space="preserve"> que les violations qu</w:t>
      </w:r>
      <w:r w:rsidR="00785BC1">
        <w:t>’</w:t>
      </w:r>
      <w:r>
        <w:t xml:space="preserve">ils ont dénoncées </w:t>
      </w:r>
      <w:r w:rsidR="005513B4">
        <w:t>r</w:t>
      </w:r>
      <w:r>
        <w:t>é</w:t>
      </w:r>
      <w:r w:rsidR="005513B4">
        <w:t>sult</w:t>
      </w:r>
      <w:r>
        <w:t>ent d</w:t>
      </w:r>
      <w:r w:rsidR="00785BC1">
        <w:t>’</w:t>
      </w:r>
      <w:r>
        <w:t xml:space="preserve">une lacune </w:t>
      </w:r>
      <w:r w:rsidR="005513B4">
        <w:t>dans l</w:t>
      </w:r>
      <w:r>
        <w:t>e droit interne. Malgré les changements introduits en 2000, ce dernier impose toujours d</w:t>
      </w:r>
      <w:r w:rsidR="00785BC1">
        <w:t>’</w:t>
      </w:r>
      <w:r>
        <w:t xml:space="preserve">attribuer </w:t>
      </w:r>
      <w:r w:rsidR="005513B4">
        <w:t xml:space="preserve">aux </w:t>
      </w:r>
      <w:r w:rsidR="00E9620B" w:rsidRPr="00110305">
        <w:t>« </w:t>
      </w:r>
      <w:r w:rsidR="00E9620B">
        <w:t>enfants légitimes</w:t>
      </w:r>
      <w:r w:rsidR="00E9620B" w:rsidRPr="00110305">
        <w:t> »</w:t>
      </w:r>
      <w:r w:rsidR="005513B4">
        <w:t xml:space="preserve"> </w:t>
      </w:r>
      <w:r>
        <w:t>le nom du père. L</w:t>
      </w:r>
      <w:r w:rsidR="005513B4">
        <w:t xml:space="preserve">e remplacement </w:t>
      </w:r>
      <w:r>
        <w:t xml:space="preserve">de ce nom ne peut avoir lieu que pour des raisons impérieuses et </w:t>
      </w:r>
      <w:r w:rsidR="007C4E56">
        <w:t>relève du</w:t>
      </w:r>
      <w:r>
        <w:t xml:space="preserve"> pouvoir discrétionnaire du </w:t>
      </w:r>
      <w:r w:rsidR="005513B4">
        <w:t>p</w:t>
      </w:r>
      <w:r>
        <w:t>réfet. Les requérants demandent dès lors à la Cour d</w:t>
      </w:r>
      <w:r w:rsidR="00785BC1">
        <w:t>’</w:t>
      </w:r>
      <w:r>
        <w:t>inviter le Gouvernement à introduire, en la matière, les réformes législative</w:t>
      </w:r>
      <w:r w:rsidR="00DD6BFB">
        <w:t xml:space="preserve">s </w:t>
      </w:r>
      <w:r>
        <w:t xml:space="preserve">nécessaires </w:t>
      </w:r>
      <w:r w:rsidR="005513B4">
        <w:t>pour</w:t>
      </w:r>
      <w:r>
        <w:t xml:space="preserve"> garantir l</w:t>
      </w:r>
      <w:r w:rsidR="00785BC1">
        <w:t>’</w:t>
      </w:r>
      <w:r>
        <w:t>égalité entre les sexes et</w:t>
      </w:r>
      <w:r w:rsidR="005513B4">
        <w:t xml:space="preserve"> entre</w:t>
      </w:r>
      <w:r>
        <w:t xml:space="preserve"> les époux.</w:t>
      </w:r>
    </w:p>
    <w:p w:rsidR="00647E9B" w:rsidRDefault="007F5E7E" w:rsidP="00922F45">
      <w:pPr>
        <w:pStyle w:val="JuPara"/>
      </w:pPr>
      <w:r>
        <w:fldChar w:fldCharType="begin"/>
      </w:r>
      <w:r>
        <w:instrText xml:space="preserve"> SEQ level0 \*arabic </w:instrText>
      </w:r>
      <w:r>
        <w:fldChar w:fldCharType="separate"/>
      </w:r>
      <w:r w:rsidR="00152465">
        <w:rPr>
          <w:noProof/>
        </w:rPr>
        <w:t>78</w:t>
      </w:r>
      <w:r>
        <w:fldChar w:fldCharType="end"/>
      </w:r>
      <w:r>
        <w:t>.  </w:t>
      </w:r>
      <w:r w:rsidR="00803311">
        <w:t xml:space="preserve">Le </w:t>
      </w:r>
      <w:r>
        <w:t>Gouvernement</w:t>
      </w:r>
      <w:r w:rsidR="00803311">
        <w:t xml:space="preserve"> s</w:t>
      </w:r>
      <w:r w:rsidR="00785BC1">
        <w:t>’</w:t>
      </w:r>
      <w:r w:rsidR="00803311">
        <w:t xml:space="preserve">y montre opposé. </w:t>
      </w:r>
      <w:r w:rsidR="00C53D16">
        <w:t xml:space="preserve">Il fait valoir </w:t>
      </w:r>
      <w:r w:rsidR="001849FD">
        <w:t xml:space="preserve">que </w:t>
      </w:r>
      <w:r>
        <w:t>la législation en vigueur</w:t>
      </w:r>
      <w:r w:rsidR="00DD6BFB">
        <w:t xml:space="preserve"> </w:t>
      </w:r>
      <w:r>
        <w:t>est l</w:t>
      </w:r>
      <w:r w:rsidR="00785BC1">
        <w:t>’</w:t>
      </w:r>
      <w:r>
        <w:t>instrument juridique qui leur a permis d</w:t>
      </w:r>
      <w:r w:rsidR="001849FD">
        <w:t xml:space="preserve">e faire </w:t>
      </w:r>
      <w:r>
        <w:t xml:space="preserve">ajouter </w:t>
      </w:r>
      <w:r w:rsidR="001849FD">
        <w:t xml:space="preserve">pour leurs enfants </w:t>
      </w:r>
      <w:r>
        <w:t xml:space="preserve">le nom de famille de la mère au nom de famille du père, et donc </w:t>
      </w:r>
      <w:r w:rsidR="00803311">
        <w:t xml:space="preserve">selon lui </w:t>
      </w:r>
      <w:r>
        <w:t>d</w:t>
      </w:r>
      <w:r w:rsidR="00785BC1">
        <w:t>’</w:t>
      </w:r>
      <w:r>
        <w:t>obtenir satisfaction au niveau interne</w:t>
      </w:r>
      <w:r w:rsidR="00C53D16">
        <w:t>. Partant</w:t>
      </w:r>
      <w:r w:rsidR="001849FD">
        <w:t xml:space="preserve">, les requérants ne </w:t>
      </w:r>
      <w:r w:rsidR="00C53D16">
        <w:t>pourraient selon lui</w:t>
      </w:r>
      <w:r w:rsidR="001849FD">
        <w:t xml:space="preserve"> demander à la Cour de contraindre l</w:t>
      </w:r>
      <w:r w:rsidR="00785BC1">
        <w:t>’</w:t>
      </w:r>
      <w:r w:rsidR="00963E37">
        <w:t xml:space="preserve">État </w:t>
      </w:r>
      <w:r w:rsidR="001849FD">
        <w:t>défendeur à la modifier</w:t>
      </w:r>
      <w:r>
        <w:t>.</w:t>
      </w:r>
    </w:p>
    <w:p w:rsidR="001E3906" w:rsidRPr="001E1C1A" w:rsidRDefault="003B3833" w:rsidP="00922F45">
      <w:pPr>
        <w:pStyle w:val="JuPara"/>
      </w:pPr>
      <w:r>
        <w:fldChar w:fldCharType="begin"/>
      </w:r>
      <w:r>
        <w:instrText xml:space="preserve"> SEQ level0 \*arabic </w:instrText>
      </w:r>
      <w:r>
        <w:fldChar w:fldCharType="separate"/>
      </w:r>
      <w:r w:rsidR="00152465">
        <w:rPr>
          <w:noProof/>
        </w:rPr>
        <w:t>79</w:t>
      </w:r>
      <w:r>
        <w:fldChar w:fldCharType="end"/>
      </w:r>
      <w:r>
        <w:t>.  </w:t>
      </w:r>
      <w:r w:rsidR="00EB5DFA">
        <w:t>La Cour</w:t>
      </w:r>
      <w:r w:rsidR="001E3906">
        <w:t xml:space="preserve"> rappelle que, aux termes de l</w:t>
      </w:r>
      <w:r w:rsidR="00785BC1">
        <w:t>’</w:t>
      </w:r>
      <w:r w:rsidR="001E3906">
        <w:t>article 46, les Hautes Parties contractantes s</w:t>
      </w:r>
      <w:r w:rsidR="00785BC1">
        <w:t>’</w:t>
      </w:r>
      <w:r w:rsidR="001E3906">
        <w:t>engagent à se conformer aux arrêts définitifs rendus par la Cour dans les litiges auxquels elles sont parties, le Comité des Ministres étant chargé de surveiller l</w:t>
      </w:r>
      <w:r w:rsidR="00785BC1">
        <w:t>’</w:t>
      </w:r>
      <w:r w:rsidR="001E3906">
        <w:t>exécution de ces arrêts. Il en découle notamment que, lorsque la Cour conclut à l</w:t>
      </w:r>
      <w:r w:rsidR="00785BC1">
        <w:t>’</w:t>
      </w:r>
      <w:r w:rsidR="001E3906">
        <w:t>existence d</w:t>
      </w:r>
      <w:r w:rsidR="00785BC1">
        <w:t>’</w:t>
      </w:r>
      <w:r w:rsidR="001E3906">
        <w:t>une violation, l</w:t>
      </w:r>
      <w:r w:rsidR="00785BC1">
        <w:t>’</w:t>
      </w:r>
      <w:r w:rsidR="00963E37">
        <w:t xml:space="preserve">État </w:t>
      </w:r>
      <w:r w:rsidR="001E3906">
        <w:t>défendeur a l</w:t>
      </w:r>
      <w:r w:rsidR="00785BC1">
        <w:t>’</w:t>
      </w:r>
      <w:r w:rsidR="001E3906">
        <w:t>obligation juridique de choisir, sous le contrôle du Comité des Ministres, les mesures générales et/ou, le cas échéant, individuelles à intégrer dans son ordre juridique interne afin de mettre un terme à la violation constatée et d</w:t>
      </w:r>
      <w:r w:rsidR="00785BC1">
        <w:t>’</w:t>
      </w:r>
      <w:r w:rsidR="001E3906">
        <w:t xml:space="preserve">en effacer autant que possible les conséquences (voir, entre autres, </w:t>
      </w:r>
      <w:r w:rsidR="001E3906" w:rsidRPr="00EB5DFA">
        <w:rPr>
          <w:i/>
        </w:rPr>
        <w:t>Xenides-Arestis c. Turquie</w:t>
      </w:r>
      <w:r w:rsidR="001E3906">
        <w:t>, n</w:t>
      </w:r>
      <w:r w:rsidR="0010731F" w:rsidRPr="0010731F">
        <w:rPr>
          <w:vertAlign w:val="superscript"/>
        </w:rPr>
        <w:t>o</w:t>
      </w:r>
      <w:r w:rsidR="001E3906">
        <w:t xml:space="preserve"> </w:t>
      </w:r>
      <w:r w:rsidR="00EB5DFA">
        <w:t>46347/99</w:t>
      </w:r>
      <w:r w:rsidR="001E3906">
        <w:t>, §§ 39-40, 22 décembre 2005</w:t>
      </w:r>
      <w:r w:rsidR="00EB5DFA">
        <w:t> ;</w:t>
      </w:r>
      <w:r w:rsidR="001E3906">
        <w:t xml:space="preserve"> </w:t>
      </w:r>
      <w:r w:rsidR="001E3906" w:rsidRPr="00EB5DFA">
        <w:rPr>
          <w:i/>
        </w:rPr>
        <w:t>Scordino c. Italie (n</w:t>
      </w:r>
      <w:r w:rsidR="0010731F" w:rsidRPr="0010731F">
        <w:rPr>
          <w:i/>
          <w:vertAlign w:val="superscript"/>
        </w:rPr>
        <w:t>o</w:t>
      </w:r>
      <w:r w:rsidR="001E3906" w:rsidRPr="00EB5DFA">
        <w:rPr>
          <w:i/>
        </w:rPr>
        <w:t xml:space="preserve"> 1)</w:t>
      </w:r>
      <w:r w:rsidR="001E3906">
        <w:t xml:space="preserve"> [GC], n</w:t>
      </w:r>
      <w:r w:rsidR="0010731F" w:rsidRPr="0010731F">
        <w:rPr>
          <w:vertAlign w:val="superscript"/>
        </w:rPr>
        <w:t>o</w:t>
      </w:r>
      <w:r w:rsidR="009E3FDE">
        <w:t xml:space="preserve"> 36813/97</w:t>
      </w:r>
      <w:r w:rsidR="001E3906">
        <w:t xml:space="preserve">, § 233, </w:t>
      </w:r>
      <w:r w:rsidR="009E3FDE">
        <w:t>CEDH 2006-V ;</w:t>
      </w:r>
      <w:r w:rsidR="001E3906">
        <w:t xml:space="preserve"> </w:t>
      </w:r>
      <w:r w:rsidR="001E3906" w:rsidRPr="009E3FDE">
        <w:rPr>
          <w:i/>
        </w:rPr>
        <w:t>Broniowski c. Pologne</w:t>
      </w:r>
      <w:r w:rsidR="001E3906">
        <w:t xml:space="preserve"> [GC], n</w:t>
      </w:r>
      <w:r w:rsidR="0010731F" w:rsidRPr="0010731F">
        <w:rPr>
          <w:vertAlign w:val="superscript"/>
        </w:rPr>
        <w:t>o</w:t>
      </w:r>
      <w:r w:rsidR="001E3906">
        <w:t xml:space="preserve"> </w:t>
      </w:r>
      <w:r w:rsidR="009E3FDE">
        <w:t>31443/96, § 192, CEDH 2004-V ;</w:t>
      </w:r>
      <w:r w:rsidR="001E3906">
        <w:t xml:space="preserve"> </w:t>
      </w:r>
      <w:r w:rsidR="001E3906" w:rsidRPr="009E3FDE">
        <w:rPr>
          <w:i/>
        </w:rPr>
        <w:t>Bottazzi c. Italie</w:t>
      </w:r>
      <w:r w:rsidR="001E3906">
        <w:t xml:space="preserve"> [GC], n</w:t>
      </w:r>
      <w:r w:rsidR="0010731F" w:rsidRPr="0010731F">
        <w:rPr>
          <w:vertAlign w:val="superscript"/>
        </w:rPr>
        <w:t>o</w:t>
      </w:r>
      <w:r w:rsidR="001E3906">
        <w:t xml:space="preserve"> </w:t>
      </w:r>
      <w:r w:rsidR="009E3FDE">
        <w:t>34884/97</w:t>
      </w:r>
      <w:r w:rsidR="001E3906">
        <w:t>, § 22, CEDH 1999-V</w:t>
      </w:r>
      <w:r w:rsidR="009E3FDE">
        <w:t> ;</w:t>
      </w:r>
      <w:r w:rsidR="001E3906">
        <w:t xml:space="preserve"> et </w:t>
      </w:r>
      <w:r w:rsidR="001E3906" w:rsidRPr="009E3FDE">
        <w:rPr>
          <w:i/>
        </w:rPr>
        <w:t>Di Mauro c. Italie</w:t>
      </w:r>
      <w:r w:rsidR="001E3906">
        <w:t xml:space="preserve"> [GC], n</w:t>
      </w:r>
      <w:r w:rsidR="0010731F" w:rsidRPr="0010731F">
        <w:rPr>
          <w:vertAlign w:val="superscript"/>
        </w:rPr>
        <w:t>o</w:t>
      </w:r>
      <w:r w:rsidR="009E3FDE">
        <w:t xml:space="preserve"> 34256/96</w:t>
      </w:r>
      <w:r w:rsidR="001E3906">
        <w:t>, § 23, CEDH 1999-V)</w:t>
      </w:r>
      <w:r w:rsidR="00EB5DFA">
        <w:t xml:space="preserve">. </w:t>
      </w:r>
      <w:r w:rsidR="009E3FDE">
        <w:t>L</w:t>
      </w:r>
      <w:r w:rsidR="00785BC1">
        <w:t>’</w:t>
      </w:r>
      <w:r w:rsidR="009E3FDE">
        <w:t xml:space="preserve">Etat doit également prendre ces mesures vis-à-vis des autres personnes se trouvant dans la même situation que </w:t>
      </w:r>
      <w:r w:rsidR="00B747BA">
        <w:t xml:space="preserve">le ou </w:t>
      </w:r>
      <w:r w:rsidR="009E3FDE">
        <w:t>le</w:t>
      </w:r>
      <w:r w:rsidR="00B747BA">
        <w:t>s</w:t>
      </w:r>
      <w:r w:rsidR="009E3FDE">
        <w:t xml:space="preserve"> requérant</w:t>
      </w:r>
      <w:r w:rsidR="00B747BA">
        <w:t>s</w:t>
      </w:r>
      <w:r w:rsidR="009E3FDE">
        <w:t xml:space="preserve">, son objectif </w:t>
      </w:r>
      <w:r w:rsidR="007C18F2">
        <w:t xml:space="preserve">devant </w:t>
      </w:r>
      <w:r w:rsidR="009E3FDE">
        <w:t xml:space="preserve">notamment </w:t>
      </w:r>
      <w:r w:rsidR="007C18F2">
        <w:t xml:space="preserve">être </w:t>
      </w:r>
      <w:r w:rsidR="009E3FDE">
        <w:t>de résoudre les problèmes qui ont conduit la Cour à son constat de violation (</w:t>
      </w:r>
      <w:r w:rsidR="00EB5DFA" w:rsidRPr="001E1C1A">
        <w:rPr>
          <w:i/>
        </w:rPr>
        <w:t xml:space="preserve">Scozzari </w:t>
      </w:r>
      <w:r w:rsidR="009E3FDE" w:rsidRPr="001E1C1A">
        <w:rPr>
          <w:i/>
        </w:rPr>
        <w:t>et</w:t>
      </w:r>
      <w:r w:rsidR="00EB5DFA" w:rsidRPr="001E1C1A">
        <w:rPr>
          <w:i/>
        </w:rPr>
        <w:t xml:space="preserve"> Giunta </w:t>
      </w:r>
      <w:r w:rsidR="009E3FDE" w:rsidRPr="001E1C1A">
        <w:rPr>
          <w:i/>
        </w:rPr>
        <w:t>c</w:t>
      </w:r>
      <w:r w:rsidR="00EB5DFA" w:rsidRPr="001E1C1A">
        <w:rPr>
          <w:i/>
        </w:rPr>
        <w:t>.</w:t>
      </w:r>
      <w:r w:rsidR="009E3FDE" w:rsidRPr="001E1C1A">
        <w:rPr>
          <w:i/>
        </w:rPr>
        <w:t> </w:t>
      </w:r>
      <w:r w:rsidR="00EB5DFA" w:rsidRPr="001E1C1A">
        <w:rPr>
          <w:i/>
        </w:rPr>
        <w:t>Ital</w:t>
      </w:r>
      <w:r w:rsidR="001E1C1A">
        <w:rPr>
          <w:i/>
        </w:rPr>
        <w:t>ie</w:t>
      </w:r>
      <w:r w:rsidR="00EB5DFA" w:rsidRPr="009E3FDE">
        <w:t xml:space="preserve"> [GC], n</w:t>
      </w:r>
      <w:r w:rsidR="00EB5DFA" w:rsidRPr="009E3FDE">
        <w:rPr>
          <w:vertAlign w:val="superscript"/>
        </w:rPr>
        <w:t>os</w:t>
      </w:r>
      <w:r w:rsidR="00EB5DFA" w:rsidRPr="009E3FDE">
        <w:t xml:space="preserve"> </w:t>
      </w:r>
      <w:r w:rsidR="009E3FDE">
        <w:t>39221/98</w:t>
      </w:r>
      <w:r w:rsidR="00EB5DFA" w:rsidRPr="009E3FDE">
        <w:t xml:space="preserve"> </w:t>
      </w:r>
      <w:r w:rsidR="009E3FDE">
        <w:t>et 41963/98</w:t>
      </w:r>
      <w:r w:rsidR="00EB5DFA" w:rsidRPr="009E3FDE">
        <w:t xml:space="preserve">, § 249, </w:t>
      </w:r>
      <w:r w:rsidR="009E3FDE">
        <w:t>CEDH</w:t>
      </w:r>
      <w:r w:rsidR="00EB5DFA" w:rsidRPr="009E3FDE">
        <w:t xml:space="preserve"> 2000-VIII</w:t>
      </w:r>
      <w:r w:rsidR="009E3FDE">
        <w:t> ;</w:t>
      </w:r>
      <w:r w:rsidR="00EB5DFA" w:rsidRPr="009E3FDE">
        <w:t xml:space="preserve"> </w:t>
      </w:r>
      <w:r w:rsidR="00EB5DFA" w:rsidRPr="009E3FDE">
        <w:rPr>
          <w:i/>
        </w:rPr>
        <w:t xml:space="preserve">Christine Goodwin </w:t>
      </w:r>
      <w:r w:rsidR="009E3FDE" w:rsidRPr="009E3FDE">
        <w:rPr>
          <w:i/>
        </w:rPr>
        <w:t>c. Royaume-Uni</w:t>
      </w:r>
      <w:r w:rsidR="00EB5DFA" w:rsidRPr="009E3FDE">
        <w:t xml:space="preserve"> [GC], n</w:t>
      </w:r>
      <w:r w:rsidR="0010731F" w:rsidRPr="0010731F">
        <w:rPr>
          <w:vertAlign w:val="superscript"/>
        </w:rPr>
        <w:t>o</w:t>
      </w:r>
      <w:r w:rsidR="00EB5DFA" w:rsidRPr="009E3FDE">
        <w:t xml:space="preserve"> </w:t>
      </w:r>
      <w:r w:rsidR="009E3FDE">
        <w:t>28957/95</w:t>
      </w:r>
      <w:r w:rsidR="00EB5DFA" w:rsidRPr="009E3FDE">
        <w:t>, §</w:t>
      </w:r>
      <w:r w:rsidR="00963E37">
        <w:t> </w:t>
      </w:r>
      <w:r w:rsidR="00EB5DFA" w:rsidRPr="009E3FDE">
        <w:t xml:space="preserve">120, </w:t>
      </w:r>
      <w:r w:rsidR="009E3FDE">
        <w:t>CEDH</w:t>
      </w:r>
      <w:r w:rsidR="00963E37">
        <w:t> </w:t>
      </w:r>
      <w:r w:rsidR="00EB5DFA" w:rsidRPr="009E3FDE">
        <w:t>2002</w:t>
      </w:r>
      <w:r w:rsidR="00963E37">
        <w:noBreakHyphen/>
      </w:r>
      <w:r w:rsidR="00EB5DFA" w:rsidRPr="009E3FDE">
        <w:t>VI</w:t>
      </w:r>
      <w:r w:rsidR="009E3FDE">
        <w:t> </w:t>
      </w:r>
      <w:r w:rsidR="00EB5DFA" w:rsidRPr="009E3FDE">
        <w:t xml:space="preserve">; </w:t>
      </w:r>
      <w:r w:rsidR="00EB5DFA" w:rsidRPr="009E3FDE">
        <w:rPr>
          <w:i/>
        </w:rPr>
        <w:t xml:space="preserve">Lukenda </w:t>
      </w:r>
      <w:r w:rsidR="009E3FDE" w:rsidRPr="009E3FDE">
        <w:rPr>
          <w:i/>
        </w:rPr>
        <w:t>c</w:t>
      </w:r>
      <w:r w:rsidR="00EB5DFA" w:rsidRPr="009E3FDE">
        <w:rPr>
          <w:i/>
        </w:rPr>
        <w:t>. Slov</w:t>
      </w:r>
      <w:r w:rsidR="009E3FDE" w:rsidRPr="009E3FDE">
        <w:rPr>
          <w:i/>
        </w:rPr>
        <w:t>é</w:t>
      </w:r>
      <w:r w:rsidR="00EB5DFA" w:rsidRPr="009E3FDE">
        <w:rPr>
          <w:i/>
        </w:rPr>
        <w:t>ni</w:t>
      </w:r>
      <w:r w:rsidR="009E3FDE" w:rsidRPr="009E3FDE">
        <w:rPr>
          <w:i/>
        </w:rPr>
        <w:t>e</w:t>
      </w:r>
      <w:r w:rsidR="00EB5DFA" w:rsidRPr="009E3FDE">
        <w:t>, n</w:t>
      </w:r>
      <w:r w:rsidR="0010731F" w:rsidRPr="0010731F">
        <w:rPr>
          <w:vertAlign w:val="superscript"/>
        </w:rPr>
        <w:t>o</w:t>
      </w:r>
      <w:r w:rsidR="001E1C1A">
        <w:t xml:space="preserve"> 23032/02</w:t>
      </w:r>
      <w:r w:rsidR="00EB5DFA" w:rsidRPr="001E1C1A">
        <w:t xml:space="preserve">, § 94, </w:t>
      </w:r>
      <w:r w:rsidR="001E1C1A">
        <w:t>CEDH</w:t>
      </w:r>
      <w:r w:rsidR="00963E37">
        <w:t> </w:t>
      </w:r>
      <w:r w:rsidR="00EB5DFA" w:rsidRPr="001E1C1A">
        <w:t>2005</w:t>
      </w:r>
      <w:r w:rsidR="00963E37">
        <w:noBreakHyphen/>
      </w:r>
      <w:r w:rsidR="00EB5DFA" w:rsidRPr="001E1C1A">
        <w:t>X</w:t>
      </w:r>
      <w:r w:rsidR="001E1C1A">
        <w:t> </w:t>
      </w:r>
      <w:r w:rsidR="00EB5DFA" w:rsidRPr="001E1C1A">
        <w:t xml:space="preserve">; </w:t>
      </w:r>
      <w:r w:rsidR="001E1C1A">
        <w:t>et</w:t>
      </w:r>
      <w:r w:rsidR="00EB5DFA" w:rsidRPr="001E1C1A">
        <w:t xml:space="preserve"> </w:t>
      </w:r>
      <w:r w:rsidR="00EB5DFA" w:rsidRPr="001E1C1A">
        <w:rPr>
          <w:i/>
        </w:rPr>
        <w:t xml:space="preserve">S. </w:t>
      </w:r>
      <w:r w:rsidR="001E1C1A" w:rsidRPr="001E1C1A">
        <w:rPr>
          <w:i/>
        </w:rPr>
        <w:t>et</w:t>
      </w:r>
      <w:r w:rsidR="00EB5DFA" w:rsidRPr="001E1C1A">
        <w:rPr>
          <w:i/>
        </w:rPr>
        <w:t xml:space="preserve"> Marper </w:t>
      </w:r>
      <w:r w:rsidR="001E1C1A" w:rsidRPr="001E1C1A">
        <w:rPr>
          <w:i/>
        </w:rPr>
        <w:t>c. Royaume-Uni</w:t>
      </w:r>
      <w:r w:rsidR="00EB5DFA" w:rsidRPr="001E1C1A">
        <w:t xml:space="preserve"> [GC], n</w:t>
      </w:r>
      <w:r w:rsidR="00EB5DFA" w:rsidRPr="001E1C1A">
        <w:rPr>
          <w:vertAlign w:val="superscript"/>
        </w:rPr>
        <w:t>os</w:t>
      </w:r>
      <w:r w:rsidR="00EB5DFA" w:rsidRPr="001E1C1A">
        <w:t xml:space="preserve"> </w:t>
      </w:r>
      <w:r w:rsidR="001E1C1A">
        <w:t>30562/04</w:t>
      </w:r>
      <w:r w:rsidR="00EB5DFA" w:rsidRPr="001E1C1A">
        <w:t xml:space="preserve"> </w:t>
      </w:r>
      <w:r w:rsidR="00DD6BFB">
        <w:t>et</w:t>
      </w:r>
      <w:r w:rsidR="00EB5DFA" w:rsidRPr="001E1C1A">
        <w:t xml:space="preserve"> </w:t>
      </w:r>
      <w:r w:rsidR="001E1C1A">
        <w:t>30566/04</w:t>
      </w:r>
      <w:r w:rsidR="00EB5DFA" w:rsidRPr="001E1C1A">
        <w:t>, §</w:t>
      </w:r>
      <w:r w:rsidR="00963E37">
        <w:t> </w:t>
      </w:r>
      <w:r w:rsidR="00EB5DFA" w:rsidRPr="001E1C1A">
        <w:t xml:space="preserve">134, </w:t>
      </w:r>
      <w:r w:rsidR="001E1C1A">
        <w:t>CEDH</w:t>
      </w:r>
      <w:r w:rsidR="00EB5DFA" w:rsidRPr="001E1C1A">
        <w:t xml:space="preserve"> 2008). </w:t>
      </w:r>
      <w:r w:rsidR="001E1C1A">
        <w:t>Dans le cadre de l</w:t>
      </w:r>
      <w:r w:rsidR="00785BC1">
        <w:t>’</w:t>
      </w:r>
      <w:r w:rsidR="001E1C1A">
        <w:t>exécution des arrêts de la Cour, le Comité des Ministres souligne sans cesse cette obligation (</w:t>
      </w:r>
      <w:r w:rsidR="001E1C1A">
        <w:rPr>
          <w:i/>
        </w:rPr>
        <w:t>B</w:t>
      </w:r>
      <w:r w:rsidR="00CC6FDF">
        <w:rPr>
          <w:i/>
        </w:rPr>
        <w:t>o</w:t>
      </w:r>
      <w:r w:rsidR="001E1C1A">
        <w:rPr>
          <w:i/>
        </w:rPr>
        <w:t>urdov c. Russie (n</w:t>
      </w:r>
      <w:r w:rsidR="0010731F" w:rsidRPr="0010731F">
        <w:rPr>
          <w:i/>
          <w:vertAlign w:val="superscript"/>
        </w:rPr>
        <w:t>o</w:t>
      </w:r>
      <w:r w:rsidR="001E1C1A">
        <w:rPr>
          <w:i/>
        </w:rPr>
        <w:t xml:space="preserve"> 2)</w:t>
      </w:r>
      <w:r w:rsidR="001E1C1A">
        <w:t>, n</w:t>
      </w:r>
      <w:r w:rsidR="0010731F" w:rsidRPr="0010731F">
        <w:rPr>
          <w:vertAlign w:val="superscript"/>
        </w:rPr>
        <w:t>o</w:t>
      </w:r>
      <w:r w:rsidR="001E1C1A">
        <w:t> </w:t>
      </w:r>
      <w:r w:rsidR="00812E75">
        <w:t>33509/04</w:t>
      </w:r>
      <w:r w:rsidR="001E1C1A">
        <w:t xml:space="preserve">, § </w:t>
      </w:r>
      <w:r w:rsidR="00812E75">
        <w:t>125</w:t>
      </w:r>
      <w:r w:rsidR="001E1C1A">
        <w:t>,</w:t>
      </w:r>
      <w:r w:rsidR="00812E75">
        <w:t xml:space="preserve"> </w:t>
      </w:r>
      <w:r w:rsidR="00CC6FDF">
        <w:t>CEDH</w:t>
      </w:r>
      <w:r w:rsidR="00CC6FDF" w:rsidDel="00CC6FDF">
        <w:t xml:space="preserve"> </w:t>
      </w:r>
      <w:r w:rsidR="00812E75">
        <w:t>2009</w:t>
      </w:r>
      <w:r w:rsidR="001E1C1A">
        <w:t> ;</w:t>
      </w:r>
      <w:r w:rsidR="001E1C1A">
        <w:rPr>
          <w:i/>
        </w:rPr>
        <w:t xml:space="preserve"> </w:t>
      </w:r>
      <w:r w:rsidR="001E1C1A">
        <w:t xml:space="preserve">voir, notamment et entres autres, les résolutions </w:t>
      </w:r>
      <w:r w:rsidR="00EB5DFA" w:rsidRPr="001E1C1A">
        <w:t xml:space="preserve">ResDH(97)336, IntResDH(99)434, IntResDH(2001)65 </w:t>
      </w:r>
      <w:r w:rsidR="001E1C1A" w:rsidRPr="001E1C1A">
        <w:t>et</w:t>
      </w:r>
      <w:r w:rsidR="00EB5DFA" w:rsidRPr="001E1C1A">
        <w:t xml:space="preserve"> ResDH(2006)1).</w:t>
      </w:r>
    </w:p>
    <w:p w:rsidR="00812E75" w:rsidRDefault="00EB5DFA" w:rsidP="00812E75">
      <w:pPr>
        <w:pStyle w:val="JuPara"/>
      </w:pPr>
      <w:r>
        <w:fldChar w:fldCharType="begin"/>
      </w:r>
      <w:r>
        <w:instrText xml:space="preserve"> SEQ level0 \*arabic </w:instrText>
      </w:r>
      <w:r>
        <w:fldChar w:fldCharType="separate"/>
      </w:r>
      <w:r w:rsidR="00152465">
        <w:rPr>
          <w:noProof/>
        </w:rPr>
        <w:t>80</w:t>
      </w:r>
      <w:r>
        <w:fldChar w:fldCharType="end"/>
      </w:r>
      <w:r>
        <w:t>.  </w:t>
      </w:r>
      <w:r w:rsidR="001E3906">
        <w:t>En principe, il n</w:t>
      </w:r>
      <w:r w:rsidR="00785BC1">
        <w:t>’</w:t>
      </w:r>
      <w:r w:rsidR="001E3906">
        <w:t xml:space="preserve">appartient pas à la Cour de définir quelles peuvent être les mesures de redressement appropriées </w:t>
      </w:r>
      <w:r w:rsidR="007C18F2">
        <w:t>de la part de</w:t>
      </w:r>
      <w:r w:rsidR="001E3906">
        <w:t xml:space="preserve"> l</w:t>
      </w:r>
      <w:r w:rsidR="00785BC1">
        <w:t>’</w:t>
      </w:r>
      <w:r w:rsidR="001E3906">
        <w:t xml:space="preserve">Etat défendeur </w:t>
      </w:r>
      <w:r w:rsidR="00D7578B">
        <w:t xml:space="preserve">pour </w:t>
      </w:r>
      <w:r w:rsidR="001E3906">
        <w:t>s</w:t>
      </w:r>
      <w:r w:rsidR="00785BC1">
        <w:t>’</w:t>
      </w:r>
      <w:r w:rsidR="001E3906">
        <w:t>acquitte</w:t>
      </w:r>
      <w:r w:rsidR="007C18F2">
        <w:t>r</w:t>
      </w:r>
      <w:r w:rsidR="001E3906">
        <w:t xml:space="preserve"> de ses obligations au regard de l</w:t>
      </w:r>
      <w:r w:rsidR="00785BC1">
        <w:t>’</w:t>
      </w:r>
      <w:r w:rsidR="001E3906">
        <w:t>article 46 de la Convention. Cependant,</w:t>
      </w:r>
      <w:r w:rsidR="007F5DF4">
        <w:t xml:space="preserve"> lorsqu</w:t>
      </w:r>
      <w:r w:rsidR="00785BC1">
        <w:t>’</w:t>
      </w:r>
      <w:r w:rsidR="001E3906">
        <w:t xml:space="preserve">un dysfonctionnement </w:t>
      </w:r>
      <w:r w:rsidR="007F5DF4">
        <w:t xml:space="preserve">a été </w:t>
      </w:r>
      <w:r w:rsidR="001E3906">
        <w:t>décelé dans le système national de protection des droits de l</w:t>
      </w:r>
      <w:r w:rsidR="00785BC1">
        <w:t>’</w:t>
      </w:r>
      <w:r w:rsidR="001E3906">
        <w:t>homme</w:t>
      </w:r>
      <w:r w:rsidR="007F5DF4">
        <w:t>, la Cour a le souci d</w:t>
      </w:r>
      <w:r w:rsidR="00785BC1">
        <w:t>’</w:t>
      </w:r>
      <w:r w:rsidR="007F5DF4">
        <w:t xml:space="preserve">en faciliter la suppression rapide et effective </w:t>
      </w:r>
      <w:r w:rsidR="001E3906">
        <w:t>(</w:t>
      </w:r>
      <w:r w:rsidRPr="00EB5DFA">
        <w:rPr>
          <w:i/>
        </w:rPr>
        <w:t>Driza c. Albanie</w:t>
      </w:r>
      <w:r>
        <w:t>, n</w:t>
      </w:r>
      <w:r w:rsidR="0010731F" w:rsidRPr="0010731F">
        <w:rPr>
          <w:vertAlign w:val="superscript"/>
        </w:rPr>
        <w:t>o</w:t>
      </w:r>
      <w:r w:rsidR="00963E37">
        <w:t> </w:t>
      </w:r>
      <w:r>
        <w:t>33771/02</w:t>
      </w:r>
      <w:r w:rsidRPr="00EB5DFA">
        <w:t xml:space="preserve">, § 125, </w:t>
      </w:r>
      <w:r>
        <w:t>CEDH</w:t>
      </w:r>
      <w:r w:rsidRPr="00EB5DFA">
        <w:t xml:space="preserve"> 2007</w:t>
      </w:r>
      <w:r w:rsidRPr="00EB5DFA">
        <w:noBreakHyphen/>
        <w:t xml:space="preserve">XII, et </w:t>
      </w:r>
      <w:r w:rsidR="001E3906" w:rsidRPr="00EB5DFA">
        <w:rPr>
          <w:i/>
        </w:rPr>
        <w:t>Vyerentsov c. U</w:t>
      </w:r>
      <w:r w:rsidRPr="00EB5DFA">
        <w:rPr>
          <w:i/>
        </w:rPr>
        <w:t>kraine</w:t>
      </w:r>
      <w:r w:rsidR="001E3906" w:rsidRPr="00EB5DFA">
        <w:t>, n</w:t>
      </w:r>
      <w:r w:rsidR="0010731F" w:rsidRPr="0010731F">
        <w:rPr>
          <w:vertAlign w:val="superscript"/>
        </w:rPr>
        <w:t>o</w:t>
      </w:r>
      <w:r w:rsidR="00963E37">
        <w:t> </w:t>
      </w:r>
      <w:r w:rsidR="001E3906" w:rsidRPr="00EB5DFA">
        <w:t>20372/11</w:t>
      </w:r>
      <w:r w:rsidRPr="00EB5DFA">
        <w:t>, §</w:t>
      </w:r>
      <w:r w:rsidR="00963E37">
        <w:t> </w:t>
      </w:r>
      <w:r w:rsidRPr="00EB5DFA">
        <w:t xml:space="preserve">94, </w:t>
      </w:r>
      <w:r>
        <w:t>11 avril 2013).</w:t>
      </w:r>
    </w:p>
    <w:p w:rsidR="001E3906" w:rsidRPr="00EB5DFA" w:rsidRDefault="00812E75" w:rsidP="00922F45">
      <w:pPr>
        <w:pStyle w:val="JuPara"/>
      </w:pPr>
      <w:r>
        <w:fldChar w:fldCharType="begin"/>
      </w:r>
      <w:r>
        <w:instrText xml:space="preserve"> SEQ level0 \*arabic </w:instrText>
      </w:r>
      <w:r>
        <w:fldChar w:fldCharType="separate"/>
      </w:r>
      <w:r w:rsidR="00152465">
        <w:rPr>
          <w:noProof/>
        </w:rPr>
        <w:t>81</w:t>
      </w:r>
      <w:r>
        <w:fldChar w:fldCharType="end"/>
      </w:r>
      <w:r>
        <w:t>.  </w:t>
      </w:r>
      <w:r w:rsidR="00C94BE6">
        <w:t xml:space="preserve">Dans la présente affaire, la Cour a </w:t>
      </w:r>
      <w:r w:rsidR="003128A0">
        <w:t>conclu à la</w:t>
      </w:r>
      <w:r w:rsidR="00C94BE6">
        <w:t xml:space="preserve"> violation de l</w:t>
      </w:r>
      <w:r w:rsidR="00785BC1">
        <w:t>’</w:t>
      </w:r>
      <w:r w:rsidR="00C94BE6">
        <w:t>article 14 de la Convention, combiné avec l</w:t>
      </w:r>
      <w:r w:rsidR="00785BC1">
        <w:t>’</w:t>
      </w:r>
      <w:r w:rsidR="00C94BE6">
        <w:t>article 8, en raison de l</w:t>
      </w:r>
      <w:r w:rsidR="00785BC1">
        <w:t>’</w:t>
      </w:r>
      <w:r w:rsidR="00C94BE6">
        <w:t>impossibilité pour les requérants</w:t>
      </w:r>
      <w:r w:rsidR="000C084E">
        <w:t>, lors de la naissance de leur fille,</w:t>
      </w:r>
      <w:r w:rsidR="00C94BE6">
        <w:t xml:space="preserve"> de faire inscrire</w:t>
      </w:r>
      <w:r w:rsidR="000C084E">
        <w:t xml:space="preserve"> celle-ci</w:t>
      </w:r>
      <w:r w:rsidR="00C94BE6">
        <w:t xml:space="preserve"> dans les registres d</w:t>
      </w:r>
      <w:r w:rsidR="00785BC1">
        <w:t>’</w:t>
      </w:r>
      <w:r w:rsidR="00C94BE6">
        <w:t xml:space="preserve">état civil avec </w:t>
      </w:r>
      <w:r w:rsidR="00EC4CF1">
        <w:t xml:space="preserve">comme </w:t>
      </w:r>
      <w:r w:rsidR="00C94BE6">
        <w:t>nom de famille</w:t>
      </w:r>
      <w:r w:rsidR="00EC4CF1">
        <w:t xml:space="preserve"> celui</w:t>
      </w:r>
      <w:r w:rsidR="00C94BE6">
        <w:t xml:space="preserve"> de sa mère. Cette impossibilité </w:t>
      </w:r>
      <w:r w:rsidR="00EC4CF1">
        <w:t xml:space="preserve">découlait </w:t>
      </w:r>
      <w:r w:rsidR="00C94BE6">
        <w:t>d</w:t>
      </w:r>
      <w:r w:rsidR="00785BC1">
        <w:t>’</w:t>
      </w:r>
      <w:r w:rsidR="00C94BE6">
        <w:t xml:space="preserve">une défaillance du système juridique italien, </w:t>
      </w:r>
      <w:r w:rsidR="003128A0">
        <w:t>selon le</w:t>
      </w:r>
      <w:r w:rsidR="00C94BE6">
        <w:t xml:space="preserve">quel tout </w:t>
      </w:r>
      <w:r w:rsidR="00504BEE" w:rsidRPr="00110305">
        <w:t>« </w:t>
      </w:r>
      <w:r w:rsidR="00504BEE">
        <w:t>enfant légitime</w:t>
      </w:r>
      <w:r w:rsidR="00504BEE" w:rsidRPr="00110305">
        <w:t> »</w:t>
      </w:r>
      <w:r w:rsidR="00C94BE6">
        <w:t xml:space="preserve"> est inscrit dans les registres d</w:t>
      </w:r>
      <w:r w:rsidR="00785BC1">
        <w:t>’</w:t>
      </w:r>
      <w:r w:rsidR="00C94BE6">
        <w:t xml:space="preserve">état civil avec </w:t>
      </w:r>
      <w:r w:rsidR="00EC4CF1">
        <w:t xml:space="preserve">comme </w:t>
      </w:r>
      <w:r w:rsidR="00C94BE6">
        <w:t>nom de famille</w:t>
      </w:r>
      <w:r w:rsidR="00EC4CF1">
        <w:t xml:space="preserve"> celui</w:t>
      </w:r>
      <w:r w:rsidR="00C94BE6">
        <w:t xml:space="preserve"> du père, sans possibilité de dérogation même en cas de consensus entre les époux </w:t>
      </w:r>
      <w:r w:rsidR="003128A0">
        <w:t>en fave</w:t>
      </w:r>
      <w:r w:rsidR="00C94BE6">
        <w:t xml:space="preserve">ur du nom de la mère. </w:t>
      </w:r>
      <w:r w:rsidR="00D17578">
        <w:t>Lorsqu</w:t>
      </w:r>
      <w:r w:rsidR="00785BC1">
        <w:t>’</w:t>
      </w:r>
      <w:r w:rsidR="00D17578">
        <w:t>elle a constaté l</w:t>
      </w:r>
      <w:r w:rsidR="00785BC1">
        <w:t>’</w:t>
      </w:r>
      <w:r w:rsidR="00D17578">
        <w:t>existence d</w:t>
      </w:r>
      <w:r w:rsidR="00785BC1">
        <w:t>’</w:t>
      </w:r>
      <w:r w:rsidR="00D17578">
        <w:t>une défaillance dans la législation interne, la Cour a eu pour habitude d</w:t>
      </w:r>
      <w:r w:rsidR="00785BC1">
        <w:t>’</w:t>
      </w:r>
      <w:r w:rsidR="00D17578">
        <w:t>en identifier la source afin d</w:t>
      </w:r>
      <w:r w:rsidR="00785BC1">
        <w:t>’</w:t>
      </w:r>
      <w:r w:rsidR="00D17578">
        <w:t>aider l</w:t>
      </w:r>
      <w:r w:rsidR="00785BC1">
        <w:t>’</w:t>
      </w:r>
      <w:r w:rsidR="00D17578">
        <w:t>Etat contractant à trouver la solution appropriée et le Comité des Ministres à surveiller l</w:t>
      </w:r>
      <w:r w:rsidR="00785BC1">
        <w:t>’</w:t>
      </w:r>
      <w:r w:rsidR="00D17578">
        <w:t>exécution du jugement</w:t>
      </w:r>
      <w:r w:rsidR="001E3906" w:rsidRPr="00D17578">
        <w:t xml:space="preserve"> (</w:t>
      </w:r>
      <w:r w:rsidR="00C94BE6" w:rsidRPr="00D17578">
        <w:t>voir</w:t>
      </w:r>
      <w:r w:rsidR="001E3906" w:rsidRPr="00D17578">
        <w:t xml:space="preserve">, </w:t>
      </w:r>
      <w:r w:rsidR="00C94BE6" w:rsidRPr="00D17578">
        <w:t>par exemple</w:t>
      </w:r>
      <w:r w:rsidR="001E3906" w:rsidRPr="00D17578">
        <w:t xml:space="preserve">, </w:t>
      </w:r>
      <w:r w:rsidR="001E3906" w:rsidRPr="00D17578">
        <w:rPr>
          <w:i/>
        </w:rPr>
        <w:t xml:space="preserve">Maria Violeta Lăzărescu </w:t>
      </w:r>
      <w:r w:rsidR="00C94BE6" w:rsidRPr="00D17578">
        <w:rPr>
          <w:i/>
        </w:rPr>
        <w:t>c</w:t>
      </w:r>
      <w:r w:rsidR="001E3906" w:rsidRPr="00D17578">
        <w:rPr>
          <w:i/>
        </w:rPr>
        <w:t>. Ro</w:t>
      </w:r>
      <w:r w:rsidR="00C94BE6" w:rsidRPr="00D17578">
        <w:rPr>
          <w:i/>
        </w:rPr>
        <w:t>umanie</w:t>
      </w:r>
      <w:r w:rsidR="001E3906" w:rsidRPr="00D17578">
        <w:t>, n</w:t>
      </w:r>
      <w:r w:rsidR="0010731F" w:rsidRPr="0010731F">
        <w:rPr>
          <w:vertAlign w:val="superscript"/>
        </w:rPr>
        <w:t>o</w:t>
      </w:r>
      <w:r w:rsidR="00963E37">
        <w:t> </w:t>
      </w:r>
      <w:r w:rsidR="00C94BE6" w:rsidRPr="00D17578">
        <w:t>10636/06</w:t>
      </w:r>
      <w:r w:rsidR="001E3906" w:rsidRPr="00D17578">
        <w:t>, §</w:t>
      </w:r>
      <w:r w:rsidR="00C94BE6" w:rsidRPr="00D17578">
        <w:t> </w:t>
      </w:r>
      <w:r w:rsidR="001E3906" w:rsidRPr="00D17578">
        <w:t xml:space="preserve">27, 23 </w:t>
      </w:r>
      <w:r w:rsidR="00C94BE6" w:rsidRPr="00D17578">
        <w:t>février</w:t>
      </w:r>
      <w:r w:rsidR="001E3906" w:rsidRPr="00D17578">
        <w:t xml:space="preserve"> 2010</w:t>
      </w:r>
      <w:r w:rsidR="00C94BE6" w:rsidRPr="00D17578">
        <w:t> </w:t>
      </w:r>
      <w:r w:rsidR="001E3906" w:rsidRPr="00D17578">
        <w:t xml:space="preserve">; </w:t>
      </w:r>
      <w:r w:rsidR="001E3906" w:rsidRPr="00D17578">
        <w:rPr>
          <w:i/>
        </w:rPr>
        <w:t>Driza</w:t>
      </w:r>
      <w:r w:rsidR="001E3906" w:rsidRPr="00D17578">
        <w:t xml:space="preserve">, </w:t>
      </w:r>
      <w:r w:rsidR="00AB33E7">
        <w:t>précité</w:t>
      </w:r>
      <w:r w:rsidR="001E3906" w:rsidRPr="00D17578">
        <w:t>, §§ 122-126</w:t>
      </w:r>
      <w:r w:rsidR="00455422" w:rsidRPr="00D17578">
        <w:t> </w:t>
      </w:r>
      <w:r w:rsidR="001E3906" w:rsidRPr="00D17578">
        <w:t xml:space="preserve">; </w:t>
      </w:r>
      <w:r w:rsidR="00C94BE6" w:rsidRPr="00D17578">
        <w:t>et</w:t>
      </w:r>
      <w:r w:rsidR="001E3906" w:rsidRPr="00D17578">
        <w:t xml:space="preserve"> </w:t>
      </w:r>
      <w:r w:rsidR="001E3906" w:rsidRPr="00D17578">
        <w:rPr>
          <w:i/>
        </w:rPr>
        <w:t xml:space="preserve">Ürper </w:t>
      </w:r>
      <w:r w:rsidR="00C94BE6" w:rsidRPr="00D17578">
        <w:rPr>
          <w:i/>
        </w:rPr>
        <w:t>et autres</w:t>
      </w:r>
      <w:r w:rsidR="001E3906" w:rsidRPr="00D17578">
        <w:rPr>
          <w:i/>
        </w:rPr>
        <w:t xml:space="preserve"> </w:t>
      </w:r>
      <w:r w:rsidR="00C94BE6" w:rsidRPr="00D17578">
        <w:rPr>
          <w:i/>
        </w:rPr>
        <w:t>c</w:t>
      </w:r>
      <w:r w:rsidR="001E3906" w:rsidRPr="00D17578">
        <w:rPr>
          <w:i/>
        </w:rPr>
        <w:t>.</w:t>
      </w:r>
      <w:r w:rsidR="00C94BE6" w:rsidRPr="00D17578">
        <w:rPr>
          <w:i/>
        </w:rPr>
        <w:t> </w:t>
      </w:r>
      <w:r w:rsidR="001E3906" w:rsidRPr="00D17578">
        <w:rPr>
          <w:i/>
        </w:rPr>
        <w:t>Tur</w:t>
      </w:r>
      <w:r w:rsidR="00C94BE6" w:rsidRPr="00D17578">
        <w:rPr>
          <w:i/>
        </w:rPr>
        <w:t>quie</w:t>
      </w:r>
      <w:r w:rsidR="001E3906" w:rsidRPr="00D17578">
        <w:t>, n</w:t>
      </w:r>
      <w:r w:rsidR="001E3906" w:rsidRPr="00D17578">
        <w:rPr>
          <w:vertAlign w:val="superscript"/>
        </w:rPr>
        <w:t>os</w:t>
      </w:r>
      <w:r w:rsidR="001E3906" w:rsidRPr="00D17578">
        <w:t xml:space="preserve"> </w:t>
      </w:r>
      <w:r w:rsidR="00455422" w:rsidRPr="00D17578">
        <w:t>14526/07</w:t>
      </w:r>
      <w:r w:rsidR="00C94BE6" w:rsidRPr="00D17578">
        <w:t xml:space="preserve"> et autres</w:t>
      </w:r>
      <w:r w:rsidR="001E3906" w:rsidRPr="00D17578">
        <w:t xml:space="preserve">, §§ 51 </w:t>
      </w:r>
      <w:r w:rsidR="00DD6BFB">
        <w:t>et</w:t>
      </w:r>
      <w:r w:rsidR="001E3906" w:rsidRPr="00D17578">
        <w:t xml:space="preserve"> 52, 20 </w:t>
      </w:r>
      <w:r w:rsidR="00AB33E7">
        <w:t>o</w:t>
      </w:r>
      <w:r w:rsidR="001E3906" w:rsidRPr="00D17578">
        <w:t>ctobr</w:t>
      </w:r>
      <w:r w:rsidR="00AB33E7">
        <w:t>e</w:t>
      </w:r>
      <w:r w:rsidR="001E3906" w:rsidRPr="00D17578">
        <w:t xml:space="preserve"> 2009). </w:t>
      </w:r>
      <w:r w:rsidR="00D17578" w:rsidRPr="00AB33E7">
        <w:t>Compte tenu de la situation constatée ci-dessus, la Cour estime que des r</w:t>
      </w:r>
      <w:r w:rsidR="0048684B">
        <w:t>é</w:t>
      </w:r>
      <w:r w:rsidR="00D17578" w:rsidRPr="00AB33E7">
        <w:t>formes dans la l</w:t>
      </w:r>
      <w:r w:rsidR="00AB33E7">
        <w:t>é</w:t>
      </w:r>
      <w:r w:rsidR="00D17578" w:rsidRPr="00AB33E7">
        <w:t xml:space="preserve">gislation et/ou la pratique italiennes </w:t>
      </w:r>
      <w:r w:rsidR="002A5346" w:rsidRPr="00AB33E7">
        <w:t>d</w:t>
      </w:r>
      <w:r w:rsidR="002A5346">
        <w:t>evraient</w:t>
      </w:r>
      <w:r w:rsidR="002A5346" w:rsidRPr="00AB33E7">
        <w:t xml:space="preserve"> </w:t>
      </w:r>
      <w:r w:rsidR="00D17578" w:rsidRPr="00AB33E7">
        <w:t>être adopt</w:t>
      </w:r>
      <w:r w:rsidR="00AB33E7">
        <w:t>é</w:t>
      </w:r>
      <w:r w:rsidR="00D17578" w:rsidRPr="00AB33E7">
        <w:t>es afin</w:t>
      </w:r>
      <w:r w:rsidR="00AB33E7" w:rsidRPr="00AB33E7">
        <w:t xml:space="preserve"> </w:t>
      </w:r>
      <w:r w:rsidR="003128A0">
        <w:t xml:space="preserve">de </w:t>
      </w:r>
      <w:r w:rsidR="00AB33E7" w:rsidRPr="00AB33E7">
        <w:t>rendr</w:t>
      </w:r>
      <w:r w:rsidR="00AB33E7">
        <w:t>e</w:t>
      </w:r>
      <w:r w:rsidR="00AB33E7" w:rsidRPr="00AB33E7">
        <w:t xml:space="preserve"> ce</w:t>
      </w:r>
      <w:r w:rsidR="00AB33E7">
        <w:t xml:space="preserve">tte législation et cette pratique compatibles avec les conclusions auxquelles </w:t>
      </w:r>
      <w:r w:rsidR="0048684B">
        <w:t>elle</w:t>
      </w:r>
      <w:r w:rsidR="00AB33E7">
        <w:t xml:space="preserve"> est parvenue dans le présent arrêt</w:t>
      </w:r>
      <w:r w:rsidR="003128A0">
        <w:t>,</w:t>
      </w:r>
      <w:r w:rsidR="00AB33E7">
        <w:t xml:space="preserve"> et </w:t>
      </w:r>
      <w:r w:rsidR="00EE4742">
        <w:t>d</w:t>
      </w:r>
      <w:r w:rsidR="00785BC1">
        <w:t>’</w:t>
      </w:r>
      <w:r w:rsidR="00AB33E7">
        <w:t>assurer le respect des exigences des articles 8 et 14 de la Convention</w:t>
      </w:r>
      <w:r w:rsidR="00D17578" w:rsidRPr="00AB33E7">
        <w:t xml:space="preserve"> </w:t>
      </w:r>
      <w:r w:rsidR="00EB5DFA" w:rsidRPr="00AB33E7">
        <w:t xml:space="preserve">(voir, </w:t>
      </w:r>
      <w:r w:rsidR="00EB5DFA" w:rsidRPr="00AB33E7">
        <w:rPr>
          <w:i/>
        </w:rPr>
        <w:t>mutatis mutandis</w:t>
      </w:r>
      <w:r w:rsidR="00EB5DFA" w:rsidRPr="00AB33E7">
        <w:t xml:space="preserve">, </w:t>
      </w:r>
      <w:r w:rsidR="00EB5DFA" w:rsidRPr="00AB33E7">
        <w:rPr>
          <w:i/>
        </w:rPr>
        <w:t>Vyerentsov</w:t>
      </w:r>
      <w:r w:rsidR="00EB5DFA" w:rsidRPr="00AB33E7">
        <w:t>, précité, § 95)</w:t>
      </w:r>
      <w:r w:rsidR="001E3906" w:rsidRPr="00AB33E7">
        <w:t>.</w:t>
      </w:r>
    </w:p>
    <w:p w:rsidR="00EC6427" w:rsidRPr="00110305" w:rsidRDefault="00EC6427" w:rsidP="00B33C50">
      <w:pPr>
        <w:pStyle w:val="JuHHead"/>
      </w:pPr>
      <w:r w:rsidRPr="00110305">
        <w:t>PAR CES MOTIFS, LA COUR</w:t>
      </w:r>
    </w:p>
    <w:p w:rsidR="00EC6427" w:rsidRPr="00110305" w:rsidRDefault="00EC6427" w:rsidP="009E2D52">
      <w:pPr>
        <w:pStyle w:val="JuList"/>
      </w:pPr>
      <w:r w:rsidRPr="00110305">
        <w:t>1.  </w:t>
      </w:r>
      <w:r w:rsidR="00EE65A3" w:rsidRPr="00110305">
        <w:rPr>
          <w:i/>
        </w:rPr>
        <w:t>Déclare</w:t>
      </w:r>
      <w:r w:rsidR="00EE65A3" w:rsidRPr="00110305">
        <w:t>,</w:t>
      </w:r>
      <w:r w:rsidR="00110305" w:rsidRPr="00110305">
        <w:t xml:space="preserve"> à la majorité, la requête recevable</w:t>
      </w:r>
      <w:r w:rsidRPr="00110305">
        <w:t> ;</w:t>
      </w:r>
    </w:p>
    <w:p w:rsidR="00EC6427" w:rsidRPr="00110305" w:rsidRDefault="00EC6427">
      <w:pPr>
        <w:pStyle w:val="JuList"/>
      </w:pPr>
    </w:p>
    <w:p w:rsidR="00EC6427" w:rsidRPr="00110305" w:rsidRDefault="00A95C78">
      <w:pPr>
        <w:pStyle w:val="JuList"/>
      </w:pPr>
      <w:r>
        <w:t>2</w:t>
      </w:r>
      <w:r w:rsidR="00E168C6" w:rsidRPr="00110305">
        <w:t>.  </w:t>
      </w:r>
      <w:r w:rsidR="00D65AB3" w:rsidRPr="00110305">
        <w:rPr>
          <w:i/>
        </w:rPr>
        <w:t>Dit</w:t>
      </w:r>
      <w:r w:rsidRPr="00110305">
        <w:t xml:space="preserve">, par </w:t>
      </w:r>
      <w:r w:rsidR="00EE65A3">
        <w:t>6</w:t>
      </w:r>
      <w:r w:rsidRPr="00110305">
        <w:t xml:space="preserve"> voix contre </w:t>
      </w:r>
      <w:r w:rsidR="00EE65A3">
        <w:t>1</w:t>
      </w:r>
      <w:r w:rsidRPr="00110305">
        <w:t>,</w:t>
      </w:r>
      <w:r w:rsidR="00110305" w:rsidRPr="00110305">
        <w:t xml:space="preserve"> </w:t>
      </w:r>
      <w:r w:rsidR="00EC6427" w:rsidRPr="00110305">
        <w:t>qu</w:t>
      </w:r>
      <w:r w:rsidR="00785BC1">
        <w:t>’</w:t>
      </w:r>
      <w:r w:rsidR="00EC6427" w:rsidRPr="00110305">
        <w:t>il y a eu violation de l</w:t>
      </w:r>
      <w:r w:rsidR="00785BC1">
        <w:t>’</w:t>
      </w:r>
      <w:r w:rsidR="00EC6427" w:rsidRPr="00110305">
        <w:t xml:space="preserve">article </w:t>
      </w:r>
      <w:r>
        <w:t>14 combiné avec l</w:t>
      </w:r>
      <w:r w:rsidR="00785BC1">
        <w:t>’</w:t>
      </w:r>
      <w:r>
        <w:t>article</w:t>
      </w:r>
      <w:r w:rsidR="008071C2">
        <w:t> </w:t>
      </w:r>
      <w:r>
        <w:t>8</w:t>
      </w:r>
      <w:r w:rsidR="00EC6427" w:rsidRPr="00110305">
        <w:t xml:space="preserve"> de la Convention ;</w:t>
      </w:r>
    </w:p>
    <w:p w:rsidR="00EC6427" w:rsidRPr="00110305" w:rsidRDefault="00EC6427">
      <w:pPr>
        <w:pStyle w:val="JuList"/>
      </w:pPr>
    </w:p>
    <w:p w:rsidR="002D70E0" w:rsidRDefault="00A95C78">
      <w:pPr>
        <w:pStyle w:val="JuList"/>
      </w:pPr>
      <w:r>
        <w:t>3</w:t>
      </w:r>
      <w:r w:rsidR="00EC6427" w:rsidRPr="00110305">
        <w:t>.  </w:t>
      </w:r>
      <w:r w:rsidR="00EC6427" w:rsidRPr="00110305">
        <w:rPr>
          <w:i/>
        </w:rPr>
        <w:t>Dit</w:t>
      </w:r>
      <w:r w:rsidR="00110305" w:rsidRPr="00110305">
        <w:t>, à l</w:t>
      </w:r>
      <w:r w:rsidR="00785BC1">
        <w:t>’</w:t>
      </w:r>
      <w:r w:rsidR="00110305" w:rsidRPr="00110305">
        <w:t xml:space="preserve">unanimité, </w:t>
      </w:r>
      <w:r w:rsidR="00EC6427" w:rsidRPr="00110305">
        <w:t>qu</w:t>
      </w:r>
      <w:r w:rsidR="00785BC1">
        <w:t>’</w:t>
      </w:r>
      <w:r w:rsidR="00EC6427" w:rsidRPr="00110305">
        <w:t>il n</w:t>
      </w:r>
      <w:r w:rsidR="00785BC1">
        <w:t>’</w:t>
      </w:r>
      <w:r w:rsidR="00EC6427" w:rsidRPr="00110305">
        <w:t>y a pas lieu d</w:t>
      </w:r>
      <w:r w:rsidR="00785BC1">
        <w:t>’</w:t>
      </w:r>
      <w:r w:rsidR="00EC6427" w:rsidRPr="00110305">
        <w:t>examiner le grief tiré</w:t>
      </w:r>
      <w:r w:rsidR="00540CFD">
        <w:t xml:space="preserve"> de l</w:t>
      </w:r>
      <w:r w:rsidR="00785BC1">
        <w:t>’</w:t>
      </w:r>
      <w:r w:rsidR="00540CFD">
        <w:t>article</w:t>
      </w:r>
      <w:r w:rsidR="00EE65A3">
        <w:t> </w:t>
      </w:r>
      <w:r w:rsidR="00540CFD">
        <w:t>8 pris isolement et le grief tiré</w:t>
      </w:r>
      <w:r w:rsidR="00EC6427" w:rsidRPr="00110305">
        <w:t xml:space="preserve"> de </w:t>
      </w:r>
      <w:r w:rsidR="00687CDA">
        <w:t>l</w:t>
      </w:r>
      <w:r w:rsidR="00785BC1">
        <w:t>’</w:t>
      </w:r>
      <w:r w:rsidR="00687CDA">
        <w:t>article 5 du Protocole n</w:t>
      </w:r>
      <w:r w:rsidR="0010731F" w:rsidRPr="0010731F">
        <w:rPr>
          <w:vertAlign w:val="superscript"/>
        </w:rPr>
        <w:t>o</w:t>
      </w:r>
      <w:r w:rsidR="00EE65A3">
        <w:t> </w:t>
      </w:r>
      <w:r w:rsidR="00687CDA">
        <w:t xml:space="preserve">7, seul ou </w:t>
      </w:r>
      <w:r w:rsidR="008071C2">
        <w:t>combiné</w:t>
      </w:r>
      <w:r w:rsidR="00687CDA">
        <w:t xml:space="preserve"> avec </w:t>
      </w:r>
      <w:r w:rsidR="00EC6427" w:rsidRPr="00110305">
        <w:t>l</w:t>
      </w:r>
      <w:r w:rsidR="00785BC1">
        <w:t>’</w:t>
      </w:r>
      <w:r w:rsidR="00EC6427" w:rsidRPr="00110305">
        <w:t xml:space="preserve">article </w:t>
      </w:r>
      <w:r>
        <w:t>14</w:t>
      </w:r>
      <w:r w:rsidR="00EC6427" w:rsidRPr="00110305">
        <w:t xml:space="preserve"> de la Convention</w:t>
      </w:r>
      <w:r w:rsidR="001E3906">
        <w:t>.</w:t>
      </w:r>
    </w:p>
    <w:p w:rsidR="00560B55" w:rsidRPr="00110305" w:rsidRDefault="00EC6427" w:rsidP="00560B55">
      <w:pPr>
        <w:pStyle w:val="JuParaLast"/>
      </w:pPr>
      <w:r w:rsidRPr="00110305">
        <w:t>Fait en français, puis communiqué par écrit le </w:t>
      </w:r>
      <w:r w:rsidR="00EE65A3">
        <w:t>7 janvier 2014</w:t>
      </w:r>
      <w:r w:rsidR="0053642D" w:rsidRPr="00110305">
        <w:t>,</w:t>
      </w:r>
      <w:r w:rsidRPr="00110305">
        <w:t xml:space="preserve"> en application de l</w:t>
      </w:r>
      <w:r w:rsidR="00785BC1">
        <w:t>’</w:t>
      </w:r>
      <w:r w:rsidRPr="00110305">
        <w:t>article 77 §§ 2 et 3 du règlement.</w:t>
      </w:r>
    </w:p>
    <w:p w:rsidR="00EC6427" w:rsidRDefault="00110305" w:rsidP="0009234F">
      <w:pPr>
        <w:pStyle w:val="JuSigned"/>
        <w:keepNext/>
        <w:keepLines/>
      </w:pPr>
      <w:r w:rsidRPr="00110305">
        <w:tab/>
        <w:t>Stanley Naismith</w:t>
      </w:r>
      <w:r w:rsidR="004C7DF5" w:rsidRPr="00110305">
        <w:tab/>
      </w:r>
      <w:r w:rsidR="005B1EC8" w:rsidRPr="004457D8">
        <w:t>Işıl</w:t>
      </w:r>
      <w:r w:rsidR="005B1EC8">
        <w:t xml:space="preserve"> </w:t>
      </w:r>
      <w:r w:rsidR="005B1EC8" w:rsidRPr="005B1EC8">
        <w:rPr>
          <w:szCs w:val="24"/>
        </w:rPr>
        <w:t>Karakaş</w:t>
      </w:r>
      <w:r w:rsidR="004C7DF5" w:rsidRPr="00110305">
        <w:br/>
      </w:r>
      <w:r w:rsidR="004C7DF5" w:rsidRPr="00110305">
        <w:tab/>
      </w:r>
      <w:r w:rsidRPr="00110305">
        <w:t>Greffier</w:t>
      </w:r>
      <w:r w:rsidR="004C7DF5" w:rsidRPr="00110305">
        <w:tab/>
      </w:r>
      <w:r w:rsidRPr="00A56E9F">
        <w:t>Présidente</w:t>
      </w:r>
    </w:p>
    <w:p w:rsidR="005B1EC8" w:rsidRPr="00167801" w:rsidRDefault="005B1EC8" w:rsidP="005F38E6">
      <w:pPr>
        <w:pStyle w:val="JuParaLast"/>
      </w:pPr>
      <w:r w:rsidRPr="00167801">
        <w:t>Au présent arrêt se trouve joint, conformément aux articles 45 § 2 de la Convention et 74 § 2 du règlement, l</w:t>
      </w:r>
      <w:r w:rsidR="00785BC1">
        <w:t>’</w:t>
      </w:r>
      <w:r w:rsidRPr="00167801">
        <w:t>exposé de l</w:t>
      </w:r>
      <w:r w:rsidR="00785BC1">
        <w:t>’</w:t>
      </w:r>
      <w:r w:rsidRPr="00167801">
        <w:t>opinion séparée du juge </w:t>
      </w:r>
      <w:r w:rsidRPr="005B1EC8">
        <w:t>Popović</w:t>
      </w:r>
      <w:r w:rsidRPr="00167801">
        <w:t>.</w:t>
      </w:r>
    </w:p>
    <w:p w:rsidR="00EE65A3" w:rsidRDefault="00120C7B" w:rsidP="005B1EC8">
      <w:pPr>
        <w:pStyle w:val="JuInitialled"/>
      </w:pPr>
      <w:r>
        <w:t>A</w:t>
      </w:r>
      <w:r w:rsidR="0096108B">
        <w:t>.</w:t>
      </w:r>
      <w:r>
        <w:t>I</w:t>
      </w:r>
      <w:r w:rsidR="0096108B">
        <w:t>.</w:t>
      </w:r>
      <w:r>
        <w:t>K</w:t>
      </w:r>
      <w:r w:rsidR="0096108B">
        <w:t>.</w:t>
      </w:r>
      <w:r w:rsidR="0025195A">
        <w:t xml:space="preserve"> </w:t>
      </w:r>
      <w:r w:rsidR="005B1EC8" w:rsidRPr="00167801">
        <w:br/>
      </w:r>
      <w:r>
        <w:t>S</w:t>
      </w:r>
      <w:r w:rsidR="0096108B">
        <w:t>.</w:t>
      </w:r>
      <w:r>
        <w:t>H</w:t>
      </w:r>
      <w:r w:rsidR="0096108B">
        <w:t>.</w:t>
      </w:r>
      <w:r>
        <w:t>N</w:t>
      </w:r>
      <w:r w:rsidR="0096108B">
        <w:t>.</w:t>
      </w:r>
    </w:p>
    <w:p w:rsidR="0025195A" w:rsidRDefault="0025195A" w:rsidP="005B1EC8">
      <w:pPr>
        <w:pStyle w:val="JuInitialled"/>
        <w:sectPr w:rsidR="0025195A" w:rsidSect="0010731F">
          <w:headerReference w:type="even" r:id="rId21"/>
          <w:headerReference w:type="default" r:id="rId22"/>
          <w:footnotePr>
            <w:numRestart w:val="eachPage"/>
          </w:footnotePr>
          <w:pgSz w:w="11906" w:h="16838" w:code="9"/>
          <w:pgMar w:top="2274" w:right="2274" w:bottom="2274" w:left="2274" w:header="1701" w:footer="720" w:gutter="0"/>
          <w:pgNumType w:start="1"/>
          <w:cols w:space="720"/>
          <w:docGrid w:linePitch="326"/>
        </w:sectPr>
      </w:pPr>
    </w:p>
    <w:p w:rsidR="00546A19" w:rsidRPr="009B16B2" w:rsidRDefault="00546A19" w:rsidP="00546A19">
      <w:pPr>
        <w:pStyle w:val="OpiHHead"/>
      </w:pPr>
      <w:r w:rsidRPr="009B16B2">
        <w:t xml:space="preserve">OPINION </w:t>
      </w:r>
      <w:r>
        <w:t>DISSIDENTE</w:t>
      </w:r>
      <w:r w:rsidRPr="009B16B2">
        <w:t xml:space="preserve"> DU</w:t>
      </w:r>
      <w:r>
        <w:t xml:space="preserve"> J</w:t>
      </w:r>
      <w:r w:rsidRPr="009B16B2">
        <w:t xml:space="preserve">UGE </w:t>
      </w:r>
      <w:r>
        <w:t>POPOVI</w:t>
      </w:r>
      <w:r w:rsidRPr="00546A19">
        <w:rPr>
          <w:rFonts w:cs="Cambria"/>
        </w:rPr>
        <w:t>Ć</w:t>
      </w:r>
    </w:p>
    <w:p w:rsidR="00546A19" w:rsidRDefault="00546A19" w:rsidP="00546A19">
      <w:pPr>
        <w:pStyle w:val="OpiPara"/>
      </w:pPr>
      <w:r>
        <w:rPr>
          <w:lang w:val="sr-Latn-CS"/>
        </w:rPr>
        <w:t xml:space="preserve">Je </w:t>
      </w:r>
      <w:r w:rsidRPr="00BA2C85">
        <w:t>regrette</w:t>
      </w:r>
      <w:r>
        <w:rPr>
          <w:lang w:val="sr-Latn-CS"/>
        </w:rPr>
        <w:t xml:space="preserve"> de ne </w:t>
      </w:r>
      <w:r>
        <w:t xml:space="preserve">pouvoir </w:t>
      </w:r>
      <w:r>
        <w:rPr>
          <w:lang w:val="sr-Latn-CS"/>
        </w:rPr>
        <w:t xml:space="preserve">me </w:t>
      </w:r>
      <w:r w:rsidRPr="00FE2BDE">
        <w:t>rallier</w:t>
      </w:r>
      <w:r>
        <w:rPr>
          <w:lang w:val="sr-Latn-CS"/>
        </w:rPr>
        <w:t xml:space="preserve"> à la </w:t>
      </w:r>
      <w:r w:rsidRPr="00FE2BDE">
        <w:t>majorité</w:t>
      </w:r>
      <w:r>
        <w:rPr>
          <w:lang w:val="sr-Latn-CS"/>
        </w:rPr>
        <w:t xml:space="preserve"> </w:t>
      </w:r>
      <w:r w:rsidRPr="00AE767E">
        <w:t>dans</w:t>
      </w:r>
      <w:r>
        <w:rPr>
          <w:lang w:val="sr-Latn-CS"/>
        </w:rPr>
        <w:t xml:space="preserve"> </w:t>
      </w:r>
      <w:r w:rsidRPr="00AE767E">
        <w:t>cette</w:t>
      </w:r>
      <w:r>
        <w:rPr>
          <w:lang w:val="sr-Latn-CS"/>
        </w:rPr>
        <w:t xml:space="preserve"> </w:t>
      </w:r>
      <w:r w:rsidRPr="00FE2BDE">
        <w:t>affaire</w:t>
      </w:r>
      <w:r>
        <w:t>. En effet,</w:t>
      </w:r>
      <w:r>
        <w:rPr>
          <w:lang w:val="sr-Latn-CS"/>
        </w:rPr>
        <w:t xml:space="preserve"> </w:t>
      </w:r>
      <w:r>
        <w:t>l</w:t>
      </w:r>
      <w:r w:rsidR="00785BC1">
        <w:t>’</w:t>
      </w:r>
      <w:r>
        <w:t>exception du gouvernement défendeur à laquelle l</w:t>
      </w:r>
      <w:r w:rsidR="00785BC1">
        <w:t>’</w:t>
      </w:r>
      <w:r>
        <w:t>arrêt fait référence au paragraphe 34 est à mon avis justifiée. Le gouvernement italien a affirmé que les requérants n</w:t>
      </w:r>
      <w:r w:rsidR="00785BC1">
        <w:t>’</w:t>
      </w:r>
      <w:r>
        <w:t>avaient subi aucun préjudice important au sens de l</w:t>
      </w:r>
      <w:r w:rsidR="00785BC1">
        <w:t>’</w:t>
      </w:r>
      <w:r>
        <w:t>article 35 § 3 b) de la Convention. Or les requérants eux-mêmes n</w:t>
      </w:r>
      <w:r w:rsidR="00785BC1">
        <w:t>’</w:t>
      </w:r>
      <w:r>
        <w:t>ont pas prétendu avoir subi un préjudice pécuniaire. Ils se plaignaient de ne pouvoir attribuer à leur fille le nom de famille de la mère. Pourtant, il ressort de la lecture du paragraphe 22 de l</w:t>
      </w:r>
      <w:r w:rsidR="00785BC1">
        <w:t>’</w:t>
      </w:r>
      <w:r>
        <w:t>arrêt que le préfet de Milan avait autorisé les requérants à changer le nom de leurs enfants selon leurs désirs.</w:t>
      </w:r>
    </w:p>
    <w:p w:rsidR="00546A19" w:rsidRDefault="00546A19" w:rsidP="00546A19">
      <w:pPr>
        <w:pStyle w:val="OpiPara"/>
      </w:pPr>
      <w:r>
        <w:t xml:space="preserve">Les faits </w:t>
      </w:r>
      <w:r w:rsidRPr="00C25C9A">
        <w:t>la cause</w:t>
      </w:r>
      <w:r>
        <w:t>, que je viens de résumer, m</w:t>
      </w:r>
      <w:r w:rsidR="00785BC1">
        <w:t>’</w:t>
      </w:r>
      <w:r>
        <w:t>amènent à conclure: 1</w:t>
      </w:r>
      <w:r w:rsidRPr="002B4295">
        <w:t>)</w:t>
      </w:r>
      <w:r>
        <w:t> que </w:t>
      </w:r>
      <w:r w:rsidDel="00947DC1">
        <w:t xml:space="preserve"> </w:t>
      </w:r>
      <w:r>
        <w:t>les requérants n</w:t>
      </w:r>
      <w:r w:rsidR="00785BC1">
        <w:t>’</w:t>
      </w:r>
      <w:r>
        <w:t>ont subi aucun préjudice important et 2) que même s</w:t>
      </w:r>
      <w:r w:rsidR="00785BC1">
        <w:t>’</w:t>
      </w:r>
      <w:r>
        <w:t>ils en avaient subi un, ils auraient perdu la qualité de victime. Cette dernière constatation conduit inévitablement à la recevabilité de la première exception soulevée par le gouvernement défendeur au paragraphe 29 de l</w:t>
      </w:r>
      <w:r w:rsidR="00785BC1">
        <w:t>’</w:t>
      </w:r>
      <w:r>
        <w:t>arrêt.</w:t>
      </w:r>
    </w:p>
    <w:p w:rsidR="00546A19" w:rsidRDefault="00546A19" w:rsidP="00546A19">
      <w:pPr>
        <w:pStyle w:val="OpiPara"/>
      </w:pPr>
      <w:r w:rsidRPr="00C25C9A">
        <w:t>Le noyau de l</w:t>
      </w:r>
      <w:r w:rsidR="00785BC1">
        <w:t>’</w:t>
      </w:r>
      <w:r w:rsidRPr="00C25C9A">
        <w:t>affaire, telle qu</w:t>
      </w:r>
      <w:r w:rsidR="00785BC1">
        <w:t>’</w:t>
      </w:r>
      <w:r w:rsidRPr="00C25C9A">
        <w:t>elle est présentée</w:t>
      </w:r>
      <w:r>
        <w:t xml:space="preserve"> devant la Cour européenne des droits de l</w:t>
      </w:r>
      <w:r w:rsidR="00785BC1">
        <w:t>’</w:t>
      </w:r>
      <w:r>
        <w:t>Homme, s</w:t>
      </w:r>
      <w:r w:rsidR="00785BC1">
        <w:t>’</w:t>
      </w:r>
      <w:r>
        <w:t>avère donc abstrait et donne l</w:t>
      </w:r>
      <w:r w:rsidR="00785BC1">
        <w:t>’</w:t>
      </w:r>
      <w:r>
        <w:t>impression que la requête ne représente qu</w:t>
      </w:r>
      <w:r w:rsidR="00785BC1">
        <w:t>’</w:t>
      </w:r>
      <w:r>
        <w:t>une sorte d</w:t>
      </w:r>
      <w:r w:rsidR="00785BC1">
        <w:t>’</w:t>
      </w:r>
      <w:r>
        <w:rPr>
          <w:i/>
        </w:rPr>
        <w:t>actio popularis</w:t>
      </w:r>
      <w:r>
        <w:t>, dont les requérants ne peuvent saisir notre Cour.</w:t>
      </w:r>
    </w:p>
    <w:p w:rsidR="00546A19" w:rsidRDefault="00546A19" w:rsidP="00546A19">
      <w:pPr>
        <w:pStyle w:val="OpiPara"/>
      </w:pPr>
      <w:r>
        <w:t>Je tiens à souligner que le problème dans cette affaire touche essentiellement à la marge d</w:t>
      </w:r>
      <w:r w:rsidR="00785BC1">
        <w:t>’</w:t>
      </w:r>
      <w:r>
        <w:t xml:space="preserve">appréciation des </w:t>
      </w:r>
      <w:r w:rsidRPr="00546A19">
        <w:rPr>
          <w:rFonts w:cs="Calibri"/>
        </w:rPr>
        <w:t>É</w:t>
      </w:r>
      <w:r>
        <w:t>tats membres de la Convention. Il porte sur la tradition de chaque pays et la pratique mise en cause ne devrait pas être soumise à harmonisation au niveau européen. Pour ne citer qu</w:t>
      </w:r>
      <w:r w:rsidR="00785BC1">
        <w:t>’</w:t>
      </w:r>
      <w:r>
        <w:t>un seul exemple, d</w:t>
      </w:r>
      <w:r w:rsidR="00785BC1">
        <w:t>’</w:t>
      </w:r>
      <w:r>
        <w:t xml:space="preserve">ailleurs bien connu, en Espagne, les personnes des deux sexes portent plusieurs noms </w:t>
      </w:r>
      <w:r w:rsidRPr="00C25C9A">
        <w:t>émanant</w:t>
      </w:r>
      <w:r>
        <w:t xml:space="preserve"> des deux côtés de la famille. Faudrait-il dire à l</w:t>
      </w:r>
      <w:r w:rsidR="00785BC1">
        <w:t>’</w:t>
      </w:r>
      <w:r w:rsidRPr="00634F0E">
        <w:t>É</w:t>
      </w:r>
      <w:r>
        <w:t>tat espagnol de changer la pratique ?</w:t>
      </w:r>
      <w:r w:rsidRPr="002B4295">
        <w:t xml:space="preserve"> </w:t>
      </w:r>
      <w:r>
        <w:t>Et pour quelle raison ? La majorité dans cette affaire semble transformer la perception claire d</w:t>
      </w:r>
      <w:r w:rsidR="00785BC1">
        <w:t>’</w:t>
      </w:r>
      <w:r>
        <w:t>un phénomène social, ce qui est étranger à la protection des droits de l</w:t>
      </w:r>
      <w:r w:rsidR="00785BC1">
        <w:t>’</w:t>
      </w:r>
      <w:r>
        <w:t>homme.</w:t>
      </w:r>
    </w:p>
    <w:p w:rsidR="0025195A" w:rsidRPr="00EE65A3" w:rsidRDefault="00546A19" w:rsidP="00546A19">
      <w:pPr>
        <w:pStyle w:val="OpiPara"/>
      </w:pPr>
      <w:r>
        <w:t>Pour toutes ces raisons, j</w:t>
      </w:r>
      <w:r w:rsidR="00785BC1">
        <w:t>’</w:t>
      </w:r>
      <w:r>
        <w:t>estime que la requête aurait dû être déclarée irrecevable en application de l</w:t>
      </w:r>
      <w:r w:rsidR="00785BC1">
        <w:t>’</w:t>
      </w:r>
      <w:r>
        <w:t>article 35 de la Convention.</w:t>
      </w:r>
    </w:p>
    <w:sectPr w:rsidR="0025195A" w:rsidRPr="00EE65A3" w:rsidSect="0025195A">
      <w:headerReference w:type="even" r:id="rId23"/>
      <w:headerReference w:type="default" r:id="rId24"/>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27" w:rsidRDefault="00AD6927">
      <w:r>
        <w:separator/>
      </w:r>
    </w:p>
  </w:endnote>
  <w:endnote w:type="continuationSeparator" w:id="0">
    <w:p w:rsidR="00AD6927" w:rsidRDefault="00AD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37" w:rsidRPr="00150BFA" w:rsidRDefault="00152465" w:rsidP="00963E37">
    <w:pPr>
      <w:jc w:val="center"/>
    </w:pPr>
    <w:r>
      <w:rPr>
        <w:noProof/>
        <w:lang w:val="en-US" w:eastAsia="ja-JP"/>
      </w:rPr>
      <w:drawing>
        <wp:inline distT="0" distB="0" distL="0" distR="0">
          <wp:extent cx="762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963E37" w:rsidRDefault="00963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27" w:rsidRDefault="00AD6927">
      <w:r>
        <w:separator/>
      </w:r>
    </w:p>
  </w:footnote>
  <w:footnote w:type="continuationSeparator" w:id="0">
    <w:p w:rsidR="00AD6927" w:rsidRDefault="00AD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37" w:rsidRPr="00DE593D" w:rsidRDefault="00963E37" w:rsidP="0010731F">
    <w:pPr>
      <w:pStyle w:val="Ju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37" w:rsidRPr="00A45145" w:rsidRDefault="00152465" w:rsidP="00963E37">
    <w:pPr>
      <w:jc w:val="center"/>
    </w:pPr>
    <w:r>
      <w:rPr>
        <w:noProof/>
        <w:lang w:val="en-US" w:eastAsia="ja-JP"/>
      </w:rPr>
      <w:drawing>
        <wp:inline distT="0" distB="0" distL="0" distR="0">
          <wp:extent cx="2944495" cy="1219200"/>
          <wp:effectExtent l="0" t="0" r="8255" b="0"/>
          <wp:docPr id="1" name="Picture 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Cover_Page\ECHR_CoverpageCS6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1219200"/>
                  </a:xfrm>
                  <a:prstGeom prst="rect">
                    <a:avLst/>
                  </a:prstGeom>
                  <a:noFill/>
                  <a:ln>
                    <a:noFill/>
                  </a:ln>
                </pic:spPr>
              </pic:pic>
            </a:graphicData>
          </a:graphic>
        </wp:inline>
      </w:drawing>
    </w:r>
  </w:p>
  <w:p w:rsidR="00963E37" w:rsidRDefault="00963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37" w:rsidRPr="0010731F" w:rsidRDefault="00963E37">
    <w:pPr>
      <w:pStyle w:val="JuHeader"/>
    </w:pPr>
    <w:r>
      <w:rPr>
        <w:rStyle w:val="PageNumber"/>
        <w:lang w:val="en-US"/>
      </w:rPr>
      <w:fldChar w:fldCharType="begin"/>
    </w:r>
    <w:r w:rsidRPr="0010731F">
      <w:rPr>
        <w:rStyle w:val="PageNumber"/>
      </w:rPr>
      <w:instrText xml:space="preserve"> PAGE </w:instrText>
    </w:r>
    <w:r>
      <w:rPr>
        <w:rStyle w:val="PageNumber"/>
        <w:lang w:val="en-US"/>
      </w:rPr>
      <w:fldChar w:fldCharType="separate"/>
    </w:r>
    <w:r w:rsidR="00152465">
      <w:rPr>
        <w:rStyle w:val="PageNumber"/>
        <w:noProof/>
      </w:rPr>
      <w:t>71</w:t>
    </w:r>
    <w:r>
      <w:rPr>
        <w:rStyle w:val="PageNumber"/>
        <w:lang w:val="en-US"/>
      </w:rPr>
      <w:fldChar w:fldCharType="end"/>
    </w:r>
    <w:r w:rsidRPr="0010731F">
      <w:rPr>
        <w:rStyle w:val="PageNumber"/>
      </w:rPr>
      <w:tab/>
    </w:r>
    <w:r w:rsidRPr="0010731F">
      <w:rPr>
        <w:noProof/>
      </w:rPr>
      <w:t>ARRÊT</w:t>
    </w:r>
    <w:r w:rsidRPr="0010731F">
      <w:t xml:space="preserve"> CUSAN ET FAZZO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37" w:rsidRPr="0010731F" w:rsidRDefault="00963E37">
    <w:pPr>
      <w:pStyle w:val="JuHeader"/>
    </w:pPr>
    <w:r>
      <w:tab/>
    </w:r>
    <w:r w:rsidRPr="0010731F">
      <w:rPr>
        <w:noProof/>
      </w:rPr>
      <w:t>ARRÊT</w:t>
    </w:r>
    <w:r w:rsidRPr="0010731F">
      <w:t xml:space="preserve"> CUSAN ET FAZZO c. ITALIE</w:t>
    </w:r>
    <w:r w:rsidRPr="0010731F">
      <w:tab/>
    </w:r>
    <w:r>
      <w:rPr>
        <w:rStyle w:val="PageNumber"/>
        <w:lang w:val="en-US"/>
      </w:rPr>
      <w:fldChar w:fldCharType="begin"/>
    </w:r>
    <w:r w:rsidRPr="0010731F">
      <w:rPr>
        <w:rStyle w:val="PageNumber"/>
      </w:rPr>
      <w:instrText xml:space="preserve"> PAGE </w:instrText>
    </w:r>
    <w:r>
      <w:rPr>
        <w:rStyle w:val="PageNumber"/>
        <w:lang w:val="en-US"/>
      </w:rPr>
      <w:fldChar w:fldCharType="separate"/>
    </w:r>
    <w:r w:rsidR="00152465">
      <w:rPr>
        <w:rStyle w:val="PageNumber"/>
        <w:noProof/>
      </w:rPr>
      <w:t>71</w:t>
    </w:r>
    <w:r>
      <w:rPr>
        <w:rStyle w:val="PageNumbe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19" w:rsidRPr="0010731F" w:rsidRDefault="00546A19">
    <w:pPr>
      <w:pStyle w:val="JuHeader"/>
    </w:pPr>
    <w:r>
      <w:rPr>
        <w:rStyle w:val="PageNumber"/>
        <w:lang w:val="en-US"/>
      </w:rPr>
      <w:fldChar w:fldCharType="begin"/>
    </w:r>
    <w:r w:rsidRPr="0010731F">
      <w:rPr>
        <w:rStyle w:val="PageNumber"/>
      </w:rPr>
      <w:instrText xml:space="preserve"> PAGE </w:instrText>
    </w:r>
    <w:r>
      <w:rPr>
        <w:rStyle w:val="PageNumber"/>
        <w:lang w:val="en-US"/>
      </w:rPr>
      <w:fldChar w:fldCharType="separate"/>
    </w:r>
    <w:r w:rsidR="00152465">
      <w:rPr>
        <w:rStyle w:val="PageNumber"/>
        <w:noProof/>
      </w:rPr>
      <w:t>71</w:t>
    </w:r>
    <w:r>
      <w:rPr>
        <w:rStyle w:val="PageNumber"/>
        <w:lang w:val="en-US"/>
      </w:rPr>
      <w:fldChar w:fldCharType="end"/>
    </w:r>
    <w:r w:rsidRPr="0010731F">
      <w:rPr>
        <w:rStyle w:val="PageNumber"/>
      </w:rPr>
      <w:tab/>
    </w:r>
    <w:r>
      <w:t>ARRÊT CUSAN ET FAZZO c. ITALIE – OPINION SÉPARÉE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5A" w:rsidRPr="0010731F" w:rsidRDefault="0025195A">
    <w:pPr>
      <w:pStyle w:val="JuHeader"/>
    </w:pPr>
    <w:r>
      <w:tab/>
    </w:r>
    <w:r w:rsidRPr="0010731F">
      <w:rPr>
        <w:noProof/>
      </w:rPr>
      <w:t>ARRÊT</w:t>
    </w:r>
    <w:r w:rsidRPr="0010731F">
      <w:t xml:space="preserve"> CUSAN ET FAZZO c. ITALIE</w:t>
    </w:r>
    <w:r w:rsidRPr="0010731F">
      <w:tab/>
    </w:r>
    <w:r>
      <w:rPr>
        <w:rStyle w:val="PageNumber"/>
        <w:lang w:val="en-US"/>
      </w:rPr>
      <w:fldChar w:fldCharType="begin"/>
    </w:r>
    <w:r w:rsidRPr="0010731F">
      <w:rPr>
        <w:rStyle w:val="PageNumber"/>
      </w:rPr>
      <w:instrText xml:space="preserve"> PAGE </w:instrText>
    </w:r>
    <w:r>
      <w:rPr>
        <w:rStyle w:val="PageNumber"/>
        <w:lang w:val="en-US"/>
      </w:rPr>
      <w:fldChar w:fldCharType="separate"/>
    </w:r>
    <w:r w:rsidR="00152465">
      <w:rPr>
        <w:rStyle w:val="PageNumber"/>
        <w:noProof/>
      </w:rPr>
      <w:t>71</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10305"/>
    <w:rsid w:val="00000A8E"/>
    <w:rsid w:val="00004540"/>
    <w:rsid w:val="00006607"/>
    <w:rsid w:val="0000732D"/>
    <w:rsid w:val="00011742"/>
    <w:rsid w:val="0001342E"/>
    <w:rsid w:val="0001493E"/>
    <w:rsid w:val="00014EE9"/>
    <w:rsid w:val="0001608A"/>
    <w:rsid w:val="000165D2"/>
    <w:rsid w:val="00023684"/>
    <w:rsid w:val="00025CE6"/>
    <w:rsid w:val="0003067A"/>
    <w:rsid w:val="000346B8"/>
    <w:rsid w:val="00034B42"/>
    <w:rsid w:val="000372C9"/>
    <w:rsid w:val="00042DCF"/>
    <w:rsid w:val="00047133"/>
    <w:rsid w:val="00056CD4"/>
    <w:rsid w:val="000667DF"/>
    <w:rsid w:val="000717C1"/>
    <w:rsid w:val="00072E60"/>
    <w:rsid w:val="000756B7"/>
    <w:rsid w:val="00076451"/>
    <w:rsid w:val="00082F58"/>
    <w:rsid w:val="00090F24"/>
    <w:rsid w:val="0009234F"/>
    <w:rsid w:val="00093432"/>
    <w:rsid w:val="0009497E"/>
    <w:rsid w:val="0009625D"/>
    <w:rsid w:val="0009631E"/>
    <w:rsid w:val="0009688D"/>
    <w:rsid w:val="000A0287"/>
    <w:rsid w:val="000A0F55"/>
    <w:rsid w:val="000A1ADF"/>
    <w:rsid w:val="000A31E4"/>
    <w:rsid w:val="000A3D31"/>
    <w:rsid w:val="000A4F27"/>
    <w:rsid w:val="000B0430"/>
    <w:rsid w:val="000B3205"/>
    <w:rsid w:val="000B7194"/>
    <w:rsid w:val="000B785B"/>
    <w:rsid w:val="000C084E"/>
    <w:rsid w:val="000C59D0"/>
    <w:rsid w:val="000D6013"/>
    <w:rsid w:val="000E2985"/>
    <w:rsid w:val="000E4D02"/>
    <w:rsid w:val="000E78C7"/>
    <w:rsid w:val="000F08D4"/>
    <w:rsid w:val="000F52D4"/>
    <w:rsid w:val="000F5F62"/>
    <w:rsid w:val="0010731F"/>
    <w:rsid w:val="00110305"/>
    <w:rsid w:val="001135F6"/>
    <w:rsid w:val="00120C7B"/>
    <w:rsid w:val="00125C43"/>
    <w:rsid w:val="00126687"/>
    <w:rsid w:val="001346BA"/>
    <w:rsid w:val="001352AA"/>
    <w:rsid w:val="00142DF7"/>
    <w:rsid w:val="00147398"/>
    <w:rsid w:val="00152465"/>
    <w:rsid w:val="001524AA"/>
    <w:rsid w:val="001542F3"/>
    <w:rsid w:val="00154B6A"/>
    <w:rsid w:val="00155E43"/>
    <w:rsid w:val="0016386D"/>
    <w:rsid w:val="00165D86"/>
    <w:rsid w:val="00172CF0"/>
    <w:rsid w:val="001752B0"/>
    <w:rsid w:val="00180C7C"/>
    <w:rsid w:val="00180FFE"/>
    <w:rsid w:val="001849FD"/>
    <w:rsid w:val="00184E3A"/>
    <w:rsid w:val="00186FB2"/>
    <w:rsid w:val="00196E64"/>
    <w:rsid w:val="001A0895"/>
    <w:rsid w:val="001A1237"/>
    <w:rsid w:val="001B2A5A"/>
    <w:rsid w:val="001B3361"/>
    <w:rsid w:val="001E0A81"/>
    <w:rsid w:val="001E15D8"/>
    <w:rsid w:val="001E1C1A"/>
    <w:rsid w:val="001E3906"/>
    <w:rsid w:val="001E45B0"/>
    <w:rsid w:val="001E4832"/>
    <w:rsid w:val="001E493A"/>
    <w:rsid w:val="001F48D8"/>
    <w:rsid w:val="001F6022"/>
    <w:rsid w:val="001F6681"/>
    <w:rsid w:val="002005BF"/>
    <w:rsid w:val="00206868"/>
    <w:rsid w:val="00207248"/>
    <w:rsid w:val="00210642"/>
    <w:rsid w:val="00211F5F"/>
    <w:rsid w:val="00220C1C"/>
    <w:rsid w:val="00221D16"/>
    <w:rsid w:val="00226907"/>
    <w:rsid w:val="00236C5E"/>
    <w:rsid w:val="00237427"/>
    <w:rsid w:val="00247DD7"/>
    <w:rsid w:val="0025195A"/>
    <w:rsid w:val="002521BD"/>
    <w:rsid w:val="00263561"/>
    <w:rsid w:val="00274199"/>
    <w:rsid w:val="00275892"/>
    <w:rsid w:val="002821AD"/>
    <w:rsid w:val="002829F1"/>
    <w:rsid w:val="0028541F"/>
    <w:rsid w:val="00287191"/>
    <w:rsid w:val="002921BB"/>
    <w:rsid w:val="0029723C"/>
    <w:rsid w:val="002A1854"/>
    <w:rsid w:val="002A27EC"/>
    <w:rsid w:val="002A5346"/>
    <w:rsid w:val="002B015F"/>
    <w:rsid w:val="002B477D"/>
    <w:rsid w:val="002B4B36"/>
    <w:rsid w:val="002B7AE3"/>
    <w:rsid w:val="002C2D5D"/>
    <w:rsid w:val="002C6073"/>
    <w:rsid w:val="002D6E87"/>
    <w:rsid w:val="002D70E0"/>
    <w:rsid w:val="002F1CE6"/>
    <w:rsid w:val="0030487C"/>
    <w:rsid w:val="00305449"/>
    <w:rsid w:val="003128A0"/>
    <w:rsid w:val="00327411"/>
    <w:rsid w:val="003306D4"/>
    <w:rsid w:val="00332AB1"/>
    <w:rsid w:val="0033369C"/>
    <w:rsid w:val="0033610E"/>
    <w:rsid w:val="003407D0"/>
    <w:rsid w:val="00341552"/>
    <w:rsid w:val="00350960"/>
    <w:rsid w:val="00353314"/>
    <w:rsid w:val="00360C14"/>
    <w:rsid w:val="00361E13"/>
    <w:rsid w:val="00362D1F"/>
    <w:rsid w:val="00370701"/>
    <w:rsid w:val="003721B4"/>
    <w:rsid w:val="00372E95"/>
    <w:rsid w:val="00381E02"/>
    <w:rsid w:val="003835A5"/>
    <w:rsid w:val="00383CB7"/>
    <w:rsid w:val="003864B8"/>
    <w:rsid w:val="00386B91"/>
    <w:rsid w:val="00387F24"/>
    <w:rsid w:val="003904CF"/>
    <w:rsid w:val="00390B0F"/>
    <w:rsid w:val="003925CE"/>
    <w:rsid w:val="003A0819"/>
    <w:rsid w:val="003A09B2"/>
    <w:rsid w:val="003A6282"/>
    <w:rsid w:val="003B0567"/>
    <w:rsid w:val="003B3833"/>
    <w:rsid w:val="003B61BC"/>
    <w:rsid w:val="003B6855"/>
    <w:rsid w:val="003C07E8"/>
    <w:rsid w:val="003C1570"/>
    <w:rsid w:val="003D2870"/>
    <w:rsid w:val="003D3BB0"/>
    <w:rsid w:val="003E2D42"/>
    <w:rsid w:val="003E3D09"/>
    <w:rsid w:val="003E78B3"/>
    <w:rsid w:val="003F5E6E"/>
    <w:rsid w:val="0040106E"/>
    <w:rsid w:val="00402150"/>
    <w:rsid w:val="0040252B"/>
    <w:rsid w:val="00402F19"/>
    <w:rsid w:val="0040406E"/>
    <w:rsid w:val="004079E9"/>
    <w:rsid w:val="00411421"/>
    <w:rsid w:val="0041177F"/>
    <w:rsid w:val="004144E1"/>
    <w:rsid w:val="00416D48"/>
    <w:rsid w:val="004219F0"/>
    <w:rsid w:val="004254D5"/>
    <w:rsid w:val="00425BF9"/>
    <w:rsid w:val="0043151B"/>
    <w:rsid w:val="00442FA9"/>
    <w:rsid w:val="004457D8"/>
    <w:rsid w:val="00445E54"/>
    <w:rsid w:val="00455422"/>
    <w:rsid w:val="004563AF"/>
    <w:rsid w:val="004653D9"/>
    <w:rsid w:val="0046676F"/>
    <w:rsid w:val="004667A2"/>
    <w:rsid w:val="0046778E"/>
    <w:rsid w:val="0046792C"/>
    <w:rsid w:val="004702BA"/>
    <w:rsid w:val="004734A5"/>
    <w:rsid w:val="004736D2"/>
    <w:rsid w:val="00475AE5"/>
    <w:rsid w:val="0048684B"/>
    <w:rsid w:val="00486CD2"/>
    <w:rsid w:val="004930AD"/>
    <w:rsid w:val="004932DA"/>
    <w:rsid w:val="004940BD"/>
    <w:rsid w:val="004A01A3"/>
    <w:rsid w:val="004A0F1E"/>
    <w:rsid w:val="004C61A7"/>
    <w:rsid w:val="004C691A"/>
    <w:rsid w:val="004C7DF5"/>
    <w:rsid w:val="004D27F5"/>
    <w:rsid w:val="004D7BC0"/>
    <w:rsid w:val="004E206A"/>
    <w:rsid w:val="004E3393"/>
    <w:rsid w:val="004E39FE"/>
    <w:rsid w:val="004E4552"/>
    <w:rsid w:val="004E63CA"/>
    <w:rsid w:val="004F0FD8"/>
    <w:rsid w:val="004F2DFB"/>
    <w:rsid w:val="004F68A7"/>
    <w:rsid w:val="005004FC"/>
    <w:rsid w:val="00504BEE"/>
    <w:rsid w:val="00523AB4"/>
    <w:rsid w:val="0052605E"/>
    <w:rsid w:val="005319B5"/>
    <w:rsid w:val="0053642D"/>
    <w:rsid w:val="00540954"/>
    <w:rsid w:val="00540CFD"/>
    <w:rsid w:val="005445AA"/>
    <w:rsid w:val="00546A19"/>
    <w:rsid w:val="00547237"/>
    <w:rsid w:val="005513B4"/>
    <w:rsid w:val="00553718"/>
    <w:rsid w:val="00560B55"/>
    <w:rsid w:val="00561AFB"/>
    <w:rsid w:val="00565B3C"/>
    <w:rsid w:val="0057103A"/>
    <w:rsid w:val="005737E4"/>
    <w:rsid w:val="005740C2"/>
    <w:rsid w:val="00574EAB"/>
    <w:rsid w:val="005801E1"/>
    <w:rsid w:val="00597019"/>
    <w:rsid w:val="005A0509"/>
    <w:rsid w:val="005B1EC8"/>
    <w:rsid w:val="005B2E31"/>
    <w:rsid w:val="005B51DE"/>
    <w:rsid w:val="005B7AAF"/>
    <w:rsid w:val="005D027F"/>
    <w:rsid w:val="005D7431"/>
    <w:rsid w:val="005E1B0C"/>
    <w:rsid w:val="005E7568"/>
    <w:rsid w:val="005E79EB"/>
    <w:rsid w:val="005E7C6C"/>
    <w:rsid w:val="005F38E6"/>
    <w:rsid w:val="005F3CD4"/>
    <w:rsid w:val="005F43E1"/>
    <w:rsid w:val="006036EE"/>
    <w:rsid w:val="00603E78"/>
    <w:rsid w:val="0061049D"/>
    <w:rsid w:val="00612896"/>
    <w:rsid w:val="00616140"/>
    <w:rsid w:val="00620817"/>
    <w:rsid w:val="006208CF"/>
    <w:rsid w:val="00626255"/>
    <w:rsid w:val="00642EB0"/>
    <w:rsid w:val="0064438C"/>
    <w:rsid w:val="006443A5"/>
    <w:rsid w:val="00647E9B"/>
    <w:rsid w:val="0065292B"/>
    <w:rsid w:val="00662B64"/>
    <w:rsid w:val="006716C1"/>
    <w:rsid w:val="0068104D"/>
    <w:rsid w:val="00687CDA"/>
    <w:rsid w:val="0069258D"/>
    <w:rsid w:val="00693A1D"/>
    <w:rsid w:val="00694356"/>
    <w:rsid w:val="006955EC"/>
    <w:rsid w:val="0069719D"/>
    <w:rsid w:val="006A05A8"/>
    <w:rsid w:val="006A0F1E"/>
    <w:rsid w:val="006A1ADE"/>
    <w:rsid w:val="006A1F0E"/>
    <w:rsid w:val="006A36A7"/>
    <w:rsid w:val="006A5686"/>
    <w:rsid w:val="006B1877"/>
    <w:rsid w:val="006B1C83"/>
    <w:rsid w:val="006B3663"/>
    <w:rsid w:val="006D51FF"/>
    <w:rsid w:val="006D7969"/>
    <w:rsid w:val="006E10B7"/>
    <w:rsid w:val="006E2DAC"/>
    <w:rsid w:val="006E30BD"/>
    <w:rsid w:val="006E3C39"/>
    <w:rsid w:val="006E71C5"/>
    <w:rsid w:val="006F005A"/>
    <w:rsid w:val="006F758A"/>
    <w:rsid w:val="007005BA"/>
    <w:rsid w:val="007028E0"/>
    <w:rsid w:val="00710681"/>
    <w:rsid w:val="00711FA7"/>
    <w:rsid w:val="007129DC"/>
    <w:rsid w:val="00722806"/>
    <w:rsid w:val="00733A94"/>
    <w:rsid w:val="007357D0"/>
    <w:rsid w:val="007374A2"/>
    <w:rsid w:val="00737DFB"/>
    <w:rsid w:val="00737E1E"/>
    <w:rsid w:val="007400F3"/>
    <w:rsid w:val="00752D87"/>
    <w:rsid w:val="00755392"/>
    <w:rsid w:val="0076517D"/>
    <w:rsid w:val="0077322C"/>
    <w:rsid w:val="007741FF"/>
    <w:rsid w:val="0077792A"/>
    <w:rsid w:val="00780F3B"/>
    <w:rsid w:val="00781B87"/>
    <w:rsid w:val="00785142"/>
    <w:rsid w:val="00785BC1"/>
    <w:rsid w:val="00787BD7"/>
    <w:rsid w:val="00790C2C"/>
    <w:rsid w:val="00791EF6"/>
    <w:rsid w:val="00795176"/>
    <w:rsid w:val="007A087B"/>
    <w:rsid w:val="007A1711"/>
    <w:rsid w:val="007A181F"/>
    <w:rsid w:val="007A22FD"/>
    <w:rsid w:val="007A4C8B"/>
    <w:rsid w:val="007A52A8"/>
    <w:rsid w:val="007B0925"/>
    <w:rsid w:val="007B77DB"/>
    <w:rsid w:val="007C18F2"/>
    <w:rsid w:val="007C1EF3"/>
    <w:rsid w:val="007C4E56"/>
    <w:rsid w:val="007D06BD"/>
    <w:rsid w:val="007D268A"/>
    <w:rsid w:val="007D5A77"/>
    <w:rsid w:val="007D7F7A"/>
    <w:rsid w:val="007E3337"/>
    <w:rsid w:val="007E34C8"/>
    <w:rsid w:val="007E7F70"/>
    <w:rsid w:val="007F5DF4"/>
    <w:rsid w:val="007F5E7E"/>
    <w:rsid w:val="007F6A42"/>
    <w:rsid w:val="00803311"/>
    <w:rsid w:val="00803644"/>
    <w:rsid w:val="008071C2"/>
    <w:rsid w:val="00810868"/>
    <w:rsid w:val="00810883"/>
    <w:rsid w:val="00812E75"/>
    <w:rsid w:val="00813920"/>
    <w:rsid w:val="00830036"/>
    <w:rsid w:val="0084755E"/>
    <w:rsid w:val="00847B0E"/>
    <w:rsid w:val="00856CBC"/>
    <w:rsid w:val="00860253"/>
    <w:rsid w:val="00863F39"/>
    <w:rsid w:val="00864DF9"/>
    <w:rsid w:val="008666F5"/>
    <w:rsid w:val="00867E82"/>
    <w:rsid w:val="00870EE5"/>
    <w:rsid w:val="00883CD6"/>
    <w:rsid w:val="0088729A"/>
    <w:rsid w:val="008A0122"/>
    <w:rsid w:val="008A2BD2"/>
    <w:rsid w:val="008A375F"/>
    <w:rsid w:val="008A5113"/>
    <w:rsid w:val="008B1F99"/>
    <w:rsid w:val="008B458A"/>
    <w:rsid w:val="008C6E3C"/>
    <w:rsid w:val="008C7FEF"/>
    <w:rsid w:val="008D564A"/>
    <w:rsid w:val="008D61D1"/>
    <w:rsid w:val="008E0AF5"/>
    <w:rsid w:val="008F1891"/>
    <w:rsid w:val="008F1D67"/>
    <w:rsid w:val="008F39FB"/>
    <w:rsid w:val="009008CC"/>
    <w:rsid w:val="0090220E"/>
    <w:rsid w:val="00902F83"/>
    <w:rsid w:val="00904F8D"/>
    <w:rsid w:val="00906A91"/>
    <w:rsid w:val="009134FC"/>
    <w:rsid w:val="0092156A"/>
    <w:rsid w:val="00921AD8"/>
    <w:rsid w:val="00922F45"/>
    <w:rsid w:val="009260DF"/>
    <w:rsid w:val="00927CFD"/>
    <w:rsid w:val="00934E38"/>
    <w:rsid w:val="00936877"/>
    <w:rsid w:val="00937799"/>
    <w:rsid w:val="00942EF5"/>
    <w:rsid w:val="00955F1D"/>
    <w:rsid w:val="00956C5C"/>
    <w:rsid w:val="0096108B"/>
    <w:rsid w:val="00963E37"/>
    <w:rsid w:val="00973C75"/>
    <w:rsid w:val="00980BEB"/>
    <w:rsid w:val="00981F73"/>
    <w:rsid w:val="00991EBF"/>
    <w:rsid w:val="00995968"/>
    <w:rsid w:val="00997CA5"/>
    <w:rsid w:val="009A0361"/>
    <w:rsid w:val="009A0A09"/>
    <w:rsid w:val="009B2D60"/>
    <w:rsid w:val="009B58D1"/>
    <w:rsid w:val="009B5CBA"/>
    <w:rsid w:val="009C0666"/>
    <w:rsid w:val="009C1366"/>
    <w:rsid w:val="009C4AEB"/>
    <w:rsid w:val="009D29DE"/>
    <w:rsid w:val="009D6748"/>
    <w:rsid w:val="009D764A"/>
    <w:rsid w:val="009E2D52"/>
    <w:rsid w:val="009E3FDE"/>
    <w:rsid w:val="009F03E7"/>
    <w:rsid w:val="009F5CA4"/>
    <w:rsid w:val="009F7286"/>
    <w:rsid w:val="00A04330"/>
    <w:rsid w:val="00A1080F"/>
    <w:rsid w:val="00A211C8"/>
    <w:rsid w:val="00A24D6F"/>
    <w:rsid w:val="00A25329"/>
    <w:rsid w:val="00A33490"/>
    <w:rsid w:val="00A3364A"/>
    <w:rsid w:val="00A46BA1"/>
    <w:rsid w:val="00A47137"/>
    <w:rsid w:val="00A52634"/>
    <w:rsid w:val="00A53F42"/>
    <w:rsid w:val="00A56E9F"/>
    <w:rsid w:val="00A77361"/>
    <w:rsid w:val="00A77DDC"/>
    <w:rsid w:val="00A82E6D"/>
    <w:rsid w:val="00A82FF9"/>
    <w:rsid w:val="00A87FC1"/>
    <w:rsid w:val="00A91831"/>
    <w:rsid w:val="00A91B4D"/>
    <w:rsid w:val="00A92E1F"/>
    <w:rsid w:val="00A93D51"/>
    <w:rsid w:val="00A95C78"/>
    <w:rsid w:val="00A96DB0"/>
    <w:rsid w:val="00A97C83"/>
    <w:rsid w:val="00AA1F51"/>
    <w:rsid w:val="00AA636C"/>
    <w:rsid w:val="00AB33E7"/>
    <w:rsid w:val="00AC15ED"/>
    <w:rsid w:val="00AC2352"/>
    <w:rsid w:val="00AC3CF0"/>
    <w:rsid w:val="00AC41B1"/>
    <w:rsid w:val="00AC5425"/>
    <w:rsid w:val="00AC6A5F"/>
    <w:rsid w:val="00AD3301"/>
    <w:rsid w:val="00AD340B"/>
    <w:rsid w:val="00AD6927"/>
    <w:rsid w:val="00AD708C"/>
    <w:rsid w:val="00AD71DC"/>
    <w:rsid w:val="00AE0A8C"/>
    <w:rsid w:val="00AE7F2E"/>
    <w:rsid w:val="00AF06F1"/>
    <w:rsid w:val="00B04694"/>
    <w:rsid w:val="00B0698E"/>
    <w:rsid w:val="00B06AED"/>
    <w:rsid w:val="00B17F2F"/>
    <w:rsid w:val="00B20588"/>
    <w:rsid w:val="00B21B7E"/>
    <w:rsid w:val="00B3102A"/>
    <w:rsid w:val="00B33C50"/>
    <w:rsid w:val="00B35417"/>
    <w:rsid w:val="00B37EFF"/>
    <w:rsid w:val="00B4148C"/>
    <w:rsid w:val="00B47FDF"/>
    <w:rsid w:val="00B51AF1"/>
    <w:rsid w:val="00B571D9"/>
    <w:rsid w:val="00B62D7C"/>
    <w:rsid w:val="00B65132"/>
    <w:rsid w:val="00B66476"/>
    <w:rsid w:val="00B70375"/>
    <w:rsid w:val="00B71036"/>
    <w:rsid w:val="00B747BA"/>
    <w:rsid w:val="00B8016C"/>
    <w:rsid w:val="00B8609B"/>
    <w:rsid w:val="00B97E47"/>
    <w:rsid w:val="00BB282B"/>
    <w:rsid w:val="00BC2AB9"/>
    <w:rsid w:val="00BC376C"/>
    <w:rsid w:val="00BD108E"/>
    <w:rsid w:val="00BD670D"/>
    <w:rsid w:val="00BD6DB6"/>
    <w:rsid w:val="00BE02AA"/>
    <w:rsid w:val="00BE121D"/>
    <w:rsid w:val="00C07F44"/>
    <w:rsid w:val="00C10254"/>
    <w:rsid w:val="00C11D99"/>
    <w:rsid w:val="00C128E5"/>
    <w:rsid w:val="00C12EE4"/>
    <w:rsid w:val="00C147C9"/>
    <w:rsid w:val="00C17992"/>
    <w:rsid w:val="00C270DE"/>
    <w:rsid w:val="00C27BF2"/>
    <w:rsid w:val="00C30846"/>
    <w:rsid w:val="00C36C7A"/>
    <w:rsid w:val="00C36FE1"/>
    <w:rsid w:val="00C45AC0"/>
    <w:rsid w:val="00C4639C"/>
    <w:rsid w:val="00C51FAF"/>
    <w:rsid w:val="00C52E09"/>
    <w:rsid w:val="00C53D16"/>
    <w:rsid w:val="00C552FE"/>
    <w:rsid w:val="00C56B5A"/>
    <w:rsid w:val="00C614EE"/>
    <w:rsid w:val="00C633F8"/>
    <w:rsid w:val="00C66BCA"/>
    <w:rsid w:val="00C94BE6"/>
    <w:rsid w:val="00C9635F"/>
    <w:rsid w:val="00C975F3"/>
    <w:rsid w:val="00CA1F58"/>
    <w:rsid w:val="00CA2544"/>
    <w:rsid w:val="00CA6977"/>
    <w:rsid w:val="00CB284D"/>
    <w:rsid w:val="00CB4956"/>
    <w:rsid w:val="00CB5C8E"/>
    <w:rsid w:val="00CB7DFD"/>
    <w:rsid w:val="00CC6FDF"/>
    <w:rsid w:val="00CE3B45"/>
    <w:rsid w:val="00CE3E62"/>
    <w:rsid w:val="00CE5726"/>
    <w:rsid w:val="00CF0511"/>
    <w:rsid w:val="00CF4479"/>
    <w:rsid w:val="00D0082A"/>
    <w:rsid w:val="00D01290"/>
    <w:rsid w:val="00D028C5"/>
    <w:rsid w:val="00D052B8"/>
    <w:rsid w:val="00D14DBD"/>
    <w:rsid w:val="00D1643E"/>
    <w:rsid w:val="00D17578"/>
    <w:rsid w:val="00D2173F"/>
    <w:rsid w:val="00D229F5"/>
    <w:rsid w:val="00D2493D"/>
    <w:rsid w:val="00D31210"/>
    <w:rsid w:val="00D344F9"/>
    <w:rsid w:val="00D368A4"/>
    <w:rsid w:val="00D420EB"/>
    <w:rsid w:val="00D511ED"/>
    <w:rsid w:val="00D540C8"/>
    <w:rsid w:val="00D55BCB"/>
    <w:rsid w:val="00D567C6"/>
    <w:rsid w:val="00D603FB"/>
    <w:rsid w:val="00D65AB3"/>
    <w:rsid w:val="00D729A6"/>
    <w:rsid w:val="00D7578B"/>
    <w:rsid w:val="00D86E1B"/>
    <w:rsid w:val="00D877DA"/>
    <w:rsid w:val="00D93DF1"/>
    <w:rsid w:val="00DA0570"/>
    <w:rsid w:val="00DA46A0"/>
    <w:rsid w:val="00DA5B97"/>
    <w:rsid w:val="00DA6B1F"/>
    <w:rsid w:val="00DB2503"/>
    <w:rsid w:val="00DB5070"/>
    <w:rsid w:val="00DC1AF9"/>
    <w:rsid w:val="00DC294A"/>
    <w:rsid w:val="00DD0C29"/>
    <w:rsid w:val="00DD2C42"/>
    <w:rsid w:val="00DD5DD4"/>
    <w:rsid w:val="00DD6052"/>
    <w:rsid w:val="00DD6BFB"/>
    <w:rsid w:val="00DE3068"/>
    <w:rsid w:val="00DE381C"/>
    <w:rsid w:val="00DE593D"/>
    <w:rsid w:val="00DF3BEB"/>
    <w:rsid w:val="00DF4031"/>
    <w:rsid w:val="00DF4CE3"/>
    <w:rsid w:val="00DF5A34"/>
    <w:rsid w:val="00DF5C0A"/>
    <w:rsid w:val="00DF752C"/>
    <w:rsid w:val="00E0006D"/>
    <w:rsid w:val="00E03130"/>
    <w:rsid w:val="00E03658"/>
    <w:rsid w:val="00E107CC"/>
    <w:rsid w:val="00E168C6"/>
    <w:rsid w:val="00E23811"/>
    <w:rsid w:val="00E275FA"/>
    <w:rsid w:val="00E27B15"/>
    <w:rsid w:val="00E3190A"/>
    <w:rsid w:val="00E33D12"/>
    <w:rsid w:val="00E4243F"/>
    <w:rsid w:val="00E440A8"/>
    <w:rsid w:val="00E46D82"/>
    <w:rsid w:val="00E54D4C"/>
    <w:rsid w:val="00E576F4"/>
    <w:rsid w:val="00E57909"/>
    <w:rsid w:val="00E7002A"/>
    <w:rsid w:val="00E74F82"/>
    <w:rsid w:val="00E76130"/>
    <w:rsid w:val="00E900C5"/>
    <w:rsid w:val="00E90227"/>
    <w:rsid w:val="00E91232"/>
    <w:rsid w:val="00E92886"/>
    <w:rsid w:val="00E953FC"/>
    <w:rsid w:val="00E9620B"/>
    <w:rsid w:val="00E970D7"/>
    <w:rsid w:val="00E97BB6"/>
    <w:rsid w:val="00EA5149"/>
    <w:rsid w:val="00EB5DFA"/>
    <w:rsid w:val="00EB74E0"/>
    <w:rsid w:val="00EC1AB4"/>
    <w:rsid w:val="00EC4CF1"/>
    <w:rsid w:val="00EC50CF"/>
    <w:rsid w:val="00EC5EE4"/>
    <w:rsid w:val="00EC6427"/>
    <w:rsid w:val="00EC7B25"/>
    <w:rsid w:val="00ED2460"/>
    <w:rsid w:val="00ED289B"/>
    <w:rsid w:val="00ED5573"/>
    <w:rsid w:val="00EE1D67"/>
    <w:rsid w:val="00EE2322"/>
    <w:rsid w:val="00EE3B2D"/>
    <w:rsid w:val="00EE40D1"/>
    <w:rsid w:val="00EE4742"/>
    <w:rsid w:val="00EE65A3"/>
    <w:rsid w:val="00EE68DF"/>
    <w:rsid w:val="00EF0D02"/>
    <w:rsid w:val="00EF5CE3"/>
    <w:rsid w:val="00F06A8A"/>
    <w:rsid w:val="00F06B4D"/>
    <w:rsid w:val="00F102EA"/>
    <w:rsid w:val="00F23152"/>
    <w:rsid w:val="00F23FA8"/>
    <w:rsid w:val="00F51203"/>
    <w:rsid w:val="00F56BB2"/>
    <w:rsid w:val="00F6691E"/>
    <w:rsid w:val="00F673E5"/>
    <w:rsid w:val="00F70910"/>
    <w:rsid w:val="00F71464"/>
    <w:rsid w:val="00F76691"/>
    <w:rsid w:val="00F83363"/>
    <w:rsid w:val="00F847C4"/>
    <w:rsid w:val="00F85A57"/>
    <w:rsid w:val="00F8793E"/>
    <w:rsid w:val="00F91373"/>
    <w:rsid w:val="00F913E9"/>
    <w:rsid w:val="00F966D4"/>
    <w:rsid w:val="00F97A4C"/>
    <w:rsid w:val="00FA1943"/>
    <w:rsid w:val="00FA3AB4"/>
    <w:rsid w:val="00FA43CA"/>
    <w:rsid w:val="00FA4460"/>
    <w:rsid w:val="00FB1416"/>
    <w:rsid w:val="00FC739E"/>
    <w:rsid w:val="00FD75B0"/>
    <w:rsid w:val="00FE431E"/>
    <w:rsid w:val="00FF02C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EF6"/>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uiPriority w:val="46"/>
    <w:qFormat/>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aliases w:val="ECHR_Title_Centre_1"/>
    <w:basedOn w:val="JuHHead"/>
    <w:next w:val="OpiPara"/>
    <w:uiPriority w:val="39"/>
    <w:qFormat/>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uiPriority w:val="22"/>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column01">
    <w:name w:val="column01"/>
    <w:basedOn w:val="DefaultParagraphFont"/>
    <w:rsid w:val="00110305"/>
  </w:style>
  <w:style w:type="character" w:customStyle="1" w:styleId="sb8d990e2">
    <w:name w:val="sb8d990e2"/>
    <w:rsid w:val="00860253"/>
  </w:style>
  <w:style w:type="character" w:customStyle="1" w:styleId="s6b621b36">
    <w:name w:val="s6b621b36"/>
    <w:rsid w:val="00860253"/>
  </w:style>
  <w:style w:type="character" w:customStyle="1" w:styleId="sea881cdfhasverticalalignsuper">
    <w:name w:val="sea881cdf hasverticalalignsuper"/>
    <w:rsid w:val="00860253"/>
  </w:style>
  <w:style w:type="character" w:customStyle="1" w:styleId="sea881cdf">
    <w:name w:val="sea881cdf"/>
    <w:rsid w:val="00785142"/>
  </w:style>
  <w:style w:type="paragraph" w:customStyle="1" w:styleId="s30eec3f8">
    <w:name w:val="s30eec3f8"/>
    <w:basedOn w:val="Normal"/>
    <w:rsid w:val="00D344F9"/>
    <w:pPr>
      <w:suppressAutoHyphens w:val="0"/>
      <w:spacing w:before="100" w:beforeAutospacing="1" w:after="100" w:afterAutospacing="1"/>
    </w:pPr>
    <w:rPr>
      <w:szCs w:val="24"/>
      <w:lang w:val="en-US" w:eastAsia="en-US"/>
    </w:rPr>
  </w:style>
  <w:style w:type="character" w:customStyle="1" w:styleId="sdfc50a6a">
    <w:name w:val="sdfc50a6a"/>
    <w:rsid w:val="00B21B7E"/>
  </w:style>
  <w:style w:type="paragraph" w:customStyle="1" w:styleId="se5d6d4c3">
    <w:name w:val="se5d6d4c3"/>
    <w:basedOn w:val="Normal"/>
    <w:rsid w:val="00B21B7E"/>
    <w:pPr>
      <w:suppressAutoHyphens w:val="0"/>
      <w:spacing w:before="100" w:beforeAutospacing="1" w:after="100" w:afterAutospacing="1"/>
    </w:pPr>
    <w:rPr>
      <w:szCs w:val="24"/>
      <w:lang w:val="en-US" w:eastAsia="en-US"/>
    </w:rPr>
  </w:style>
  <w:style w:type="character" w:customStyle="1" w:styleId="sf1c7242d">
    <w:name w:val="sf1c7242d"/>
    <w:rsid w:val="001E3906"/>
  </w:style>
  <w:style w:type="character" w:customStyle="1" w:styleId="s23c0e944">
    <w:name w:val="s23c0e944"/>
    <w:rsid w:val="001E3906"/>
  </w:style>
  <w:style w:type="character" w:customStyle="1" w:styleId="wordhighlighted">
    <w:name w:val="wordhighlighted"/>
    <w:rsid w:val="00812E75"/>
  </w:style>
  <w:style w:type="paragraph" w:styleId="Revision">
    <w:name w:val="Revision"/>
    <w:hidden/>
    <w:uiPriority w:val="99"/>
    <w:semiHidden/>
    <w:rsid w:val="0033369C"/>
    <w:rPr>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EF6"/>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uiPriority w:val="46"/>
    <w:qFormat/>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aliases w:val="ECHR_Title_Centre_1"/>
    <w:basedOn w:val="JuHHead"/>
    <w:next w:val="OpiPara"/>
    <w:uiPriority w:val="39"/>
    <w:qFormat/>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uiPriority w:val="22"/>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column01">
    <w:name w:val="column01"/>
    <w:basedOn w:val="DefaultParagraphFont"/>
    <w:rsid w:val="00110305"/>
  </w:style>
  <w:style w:type="character" w:customStyle="1" w:styleId="sb8d990e2">
    <w:name w:val="sb8d990e2"/>
    <w:rsid w:val="00860253"/>
  </w:style>
  <w:style w:type="character" w:customStyle="1" w:styleId="s6b621b36">
    <w:name w:val="s6b621b36"/>
    <w:rsid w:val="00860253"/>
  </w:style>
  <w:style w:type="character" w:customStyle="1" w:styleId="sea881cdfhasverticalalignsuper">
    <w:name w:val="sea881cdf hasverticalalignsuper"/>
    <w:rsid w:val="00860253"/>
  </w:style>
  <w:style w:type="character" w:customStyle="1" w:styleId="sea881cdf">
    <w:name w:val="sea881cdf"/>
    <w:rsid w:val="00785142"/>
  </w:style>
  <w:style w:type="paragraph" w:customStyle="1" w:styleId="s30eec3f8">
    <w:name w:val="s30eec3f8"/>
    <w:basedOn w:val="Normal"/>
    <w:rsid w:val="00D344F9"/>
    <w:pPr>
      <w:suppressAutoHyphens w:val="0"/>
      <w:spacing w:before="100" w:beforeAutospacing="1" w:after="100" w:afterAutospacing="1"/>
    </w:pPr>
    <w:rPr>
      <w:szCs w:val="24"/>
      <w:lang w:val="en-US" w:eastAsia="en-US"/>
    </w:rPr>
  </w:style>
  <w:style w:type="character" w:customStyle="1" w:styleId="sdfc50a6a">
    <w:name w:val="sdfc50a6a"/>
    <w:rsid w:val="00B21B7E"/>
  </w:style>
  <w:style w:type="paragraph" w:customStyle="1" w:styleId="se5d6d4c3">
    <w:name w:val="se5d6d4c3"/>
    <w:basedOn w:val="Normal"/>
    <w:rsid w:val="00B21B7E"/>
    <w:pPr>
      <w:suppressAutoHyphens w:val="0"/>
      <w:spacing w:before="100" w:beforeAutospacing="1" w:after="100" w:afterAutospacing="1"/>
    </w:pPr>
    <w:rPr>
      <w:szCs w:val="24"/>
      <w:lang w:val="en-US" w:eastAsia="en-US"/>
    </w:rPr>
  </w:style>
  <w:style w:type="character" w:customStyle="1" w:styleId="sf1c7242d">
    <w:name w:val="sf1c7242d"/>
    <w:rsid w:val="001E3906"/>
  </w:style>
  <w:style w:type="character" w:customStyle="1" w:styleId="s23c0e944">
    <w:name w:val="s23c0e944"/>
    <w:rsid w:val="001E3906"/>
  </w:style>
  <w:style w:type="character" w:customStyle="1" w:styleId="wordhighlighted">
    <w:name w:val="wordhighlighted"/>
    <w:rsid w:val="00812E75"/>
  </w:style>
  <w:style w:type="paragraph" w:styleId="Revision">
    <w:name w:val="Revision"/>
    <w:hidden/>
    <w:uiPriority w:val="99"/>
    <w:semiHidden/>
    <w:rsid w:val="0033369C"/>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6119">
      <w:bodyDiv w:val="1"/>
      <w:marLeft w:val="0"/>
      <w:marRight w:val="0"/>
      <w:marTop w:val="0"/>
      <w:marBottom w:val="0"/>
      <w:divBdr>
        <w:top w:val="none" w:sz="0" w:space="0" w:color="auto"/>
        <w:left w:val="none" w:sz="0" w:space="0" w:color="auto"/>
        <w:bottom w:val="none" w:sz="0" w:space="0" w:color="auto"/>
        <w:right w:val="none" w:sz="0" w:space="0" w:color="auto"/>
      </w:divBdr>
      <w:divsChild>
        <w:div w:id="115489546">
          <w:marLeft w:val="0"/>
          <w:marRight w:val="0"/>
          <w:marTop w:val="0"/>
          <w:marBottom w:val="0"/>
          <w:divBdr>
            <w:top w:val="none" w:sz="0" w:space="0" w:color="auto"/>
            <w:left w:val="none" w:sz="0" w:space="0" w:color="auto"/>
            <w:bottom w:val="none" w:sz="0" w:space="0" w:color="auto"/>
            <w:right w:val="none" w:sz="0" w:space="0" w:color="auto"/>
          </w:divBdr>
          <w:divsChild>
            <w:div w:id="1238978629">
              <w:marLeft w:val="0"/>
              <w:marRight w:val="0"/>
              <w:marTop w:val="0"/>
              <w:marBottom w:val="0"/>
              <w:divBdr>
                <w:top w:val="none" w:sz="0" w:space="0" w:color="auto"/>
                <w:left w:val="none" w:sz="0" w:space="0" w:color="auto"/>
                <w:bottom w:val="none" w:sz="0" w:space="0" w:color="auto"/>
                <w:right w:val="none" w:sz="0" w:space="0" w:color="auto"/>
              </w:divBdr>
              <w:divsChild>
                <w:div w:id="1239053619">
                  <w:marLeft w:val="0"/>
                  <w:marRight w:val="0"/>
                  <w:marTop w:val="0"/>
                  <w:marBottom w:val="0"/>
                  <w:divBdr>
                    <w:top w:val="none" w:sz="0" w:space="0" w:color="auto"/>
                    <w:left w:val="none" w:sz="0" w:space="0" w:color="auto"/>
                    <w:bottom w:val="none" w:sz="0" w:space="0" w:color="auto"/>
                    <w:right w:val="none" w:sz="0" w:space="0" w:color="auto"/>
                  </w:divBdr>
                  <w:divsChild>
                    <w:div w:id="1753811617">
                      <w:marLeft w:val="0"/>
                      <w:marRight w:val="0"/>
                      <w:marTop w:val="0"/>
                      <w:marBottom w:val="0"/>
                      <w:divBdr>
                        <w:top w:val="none" w:sz="0" w:space="0" w:color="auto"/>
                        <w:left w:val="none" w:sz="0" w:space="0" w:color="auto"/>
                        <w:bottom w:val="none" w:sz="0" w:space="0" w:color="auto"/>
                        <w:right w:val="none" w:sz="0" w:space="0" w:color="auto"/>
                      </w:divBdr>
                      <w:divsChild>
                        <w:div w:id="952632953">
                          <w:marLeft w:val="0"/>
                          <w:marRight w:val="0"/>
                          <w:marTop w:val="0"/>
                          <w:marBottom w:val="0"/>
                          <w:divBdr>
                            <w:top w:val="none" w:sz="0" w:space="0" w:color="auto"/>
                            <w:left w:val="none" w:sz="0" w:space="0" w:color="auto"/>
                            <w:bottom w:val="none" w:sz="0" w:space="0" w:color="auto"/>
                            <w:right w:val="none" w:sz="0" w:space="0" w:color="auto"/>
                          </w:divBdr>
                          <w:divsChild>
                            <w:div w:id="19386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03419">
      <w:bodyDiv w:val="1"/>
      <w:marLeft w:val="0"/>
      <w:marRight w:val="0"/>
      <w:marTop w:val="0"/>
      <w:marBottom w:val="0"/>
      <w:divBdr>
        <w:top w:val="none" w:sz="0" w:space="0" w:color="auto"/>
        <w:left w:val="none" w:sz="0" w:space="0" w:color="auto"/>
        <w:bottom w:val="none" w:sz="0" w:space="0" w:color="auto"/>
        <w:right w:val="none" w:sz="0" w:space="0" w:color="auto"/>
      </w:divBdr>
      <w:divsChild>
        <w:div w:id="2012446693">
          <w:marLeft w:val="0"/>
          <w:marRight w:val="0"/>
          <w:marTop w:val="0"/>
          <w:marBottom w:val="0"/>
          <w:divBdr>
            <w:top w:val="none" w:sz="0" w:space="0" w:color="auto"/>
            <w:left w:val="none" w:sz="0" w:space="0" w:color="auto"/>
            <w:bottom w:val="none" w:sz="0" w:space="0" w:color="auto"/>
            <w:right w:val="none" w:sz="0" w:space="0" w:color="auto"/>
          </w:divBdr>
          <w:divsChild>
            <w:div w:id="361856606">
              <w:marLeft w:val="0"/>
              <w:marRight w:val="0"/>
              <w:marTop w:val="0"/>
              <w:marBottom w:val="0"/>
              <w:divBdr>
                <w:top w:val="none" w:sz="0" w:space="0" w:color="auto"/>
                <w:left w:val="none" w:sz="0" w:space="0" w:color="auto"/>
                <w:bottom w:val="none" w:sz="0" w:space="0" w:color="auto"/>
                <w:right w:val="none" w:sz="0" w:space="0" w:color="auto"/>
              </w:divBdr>
              <w:divsChild>
                <w:div w:id="1484152532">
                  <w:marLeft w:val="0"/>
                  <w:marRight w:val="0"/>
                  <w:marTop w:val="0"/>
                  <w:marBottom w:val="0"/>
                  <w:divBdr>
                    <w:top w:val="none" w:sz="0" w:space="0" w:color="auto"/>
                    <w:left w:val="none" w:sz="0" w:space="0" w:color="auto"/>
                    <w:bottom w:val="none" w:sz="0" w:space="0" w:color="auto"/>
                    <w:right w:val="none" w:sz="0" w:space="0" w:color="auto"/>
                  </w:divBdr>
                  <w:divsChild>
                    <w:div w:id="1689987010">
                      <w:marLeft w:val="0"/>
                      <w:marRight w:val="0"/>
                      <w:marTop w:val="0"/>
                      <w:marBottom w:val="0"/>
                      <w:divBdr>
                        <w:top w:val="none" w:sz="0" w:space="0" w:color="auto"/>
                        <w:left w:val="none" w:sz="0" w:space="0" w:color="auto"/>
                        <w:bottom w:val="none" w:sz="0" w:space="0" w:color="auto"/>
                        <w:right w:val="none" w:sz="0" w:space="0" w:color="auto"/>
                      </w:divBdr>
                      <w:divsChild>
                        <w:div w:id="1723292010">
                          <w:marLeft w:val="0"/>
                          <w:marRight w:val="0"/>
                          <w:marTop w:val="0"/>
                          <w:marBottom w:val="0"/>
                          <w:divBdr>
                            <w:top w:val="none" w:sz="0" w:space="0" w:color="auto"/>
                            <w:left w:val="none" w:sz="0" w:space="0" w:color="auto"/>
                            <w:bottom w:val="none" w:sz="0" w:space="0" w:color="auto"/>
                            <w:right w:val="none" w:sz="0" w:space="0" w:color="auto"/>
                          </w:divBdr>
                          <w:divsChild>
                            <w:div w:id="4393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71152">
      <w:bodyDiv w:val="1"/>
      <w:marLeft w:val="0"/>
      <w:marRight w:val="0"/>
      <w:marTop w:val="0"/>
      <w:marBottom w:val="0"/>
      <w:divBdr>
        <w:top w:val="none" w:sz="0" w:space="0" w:color="auto"/>
        <w:left w:val="none" w:sz="0" w:space="0" w:color="auto"/>
        <w:bottom w:val="none" w:sz="0" w:space="0" w:color="auto"/>
        <w:right w:val="none" w:sz="0" w:space="0" w:color="auto"/>
      </w:divBdr>
      <w:divsChild>
        <w:div w:id="1756245407">
          <w:marLeft w:val="0"/>
          <w:marRight w:val="0"/>
          <w:marTop w:val="0"/>
          <w:marBottom w:val="0"/>
          <w:divBdr>
            <w:top w:val="none" w:sz="0" w:space="0" w:color="auto"/>
            <w:left w:val="none" w:sz="0" w:space="0" w:color="auto"/>
            <w:bottom w:val="none" w:sz="0" w:space="0" w:color="auto"/>
            <w:right w:val="none" w:sz="0" w:space="0" w:color="auto"/>
          </w:divBdr>
          <w:divsChild>
            <w:div w:id="459610587">
              <w:marLeft w:val="0"/>
              <w:marRight w:val="0"/>
              <w:marTop w:val="0"/>
              <w:marBottom w:val="0"/>
              <w:divBdr>
                <w:top w:val="none" w:sz="0" w:space="0" w:color="auto"/>
                <w:left w:val="none" w:sz="0" w:space="0" w:color="auto"/>
                <w:bottom w:val="none" w:sz="0" w:space="0" w:color="auto"/>
                <w:right w:val="none" w:sz="0" w:space="0" w:color="auto"/>
              </w:divBdr>
              <w:divsChild>
                <w:div w:id="1853646979">
                  <w:marLeft w:val="0"/>
                  <w:marRight w:val="0"/>
                  <w:marTop w:val="0"/>
                  <w:marBottom w:val="0"/>
                  <w:divBdr>
                    <w:top w:val="none" w:sz="0" w:space="0" w:color="auto"/>
                    <w:left w:val="none" w:sz="0" w:space="0" w:color="auto"/>
                    <w:bottom w:val="none" w:sz="0" w:space="0" w:color="auto"/>
                    <w:right w:val="none" w:sz="0" w:space="0" w:color="auto"/>
                  </w:divBdr>
                  <w:divsChild>
                    <w:div w:id="2108886577">
                      <w:marLeft w:val="0"/>
                      <w:marRight w:val="0"/>
                      <w:marTop w:val="0"/>
                      <w:marBottom w:val="0"/>
                      <w:divBdr>
                        <w:top w:val="none" w:sz="0" w:space="0" w:color="auto"/>
                        <w:left w:val="none" w:sz="0" w:space="0" w:color="auto"/>
                        <w:bottom w:val="none" w:sz="0" w:space="0" w:color="auto"/>
                        <w:right w:val="none" w:sz="0" w:space="0" w:color="auto"/>
                      </w:divBdr>
                      <w:divsChild>
                        <w:div w:id="307251432">
                          <w:marLeft w:val="0"/>
                          <w:marRight w:val="0"/>
                          <w:marTop w:val="0"/>
                          <w:marBottom w:val="0"/>
                          <w:divBdr>
                            <w:top w:val="none" w:sz="0" w:space="0" w:color="auto"/>
                            <w:left w:val="none" w:sz="0" w:space="0" w:color="auto"/>
                            <w:bottom w:val="none" w:sz="0" w:space="0" w:color="auto"/>
                            <w:right w:val="none" w:sz="0" w:space="0" w:color="auto"/>
                          </w:divBdr>
                          <w:divsChild>
                            <w:div w:id="3581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12134">
      <w:bodyDiv w:val="1"/>
      <w:marLeft w:val="0"/>
      <w:marRight w:val="0"/>
      <w:marTop w:val="0"/>
      <w:marBottom w:val="0"/>
      <w:divBdr>
        <w:top w:val="none" w:sz="0" w:space="0" w:color="auto"/>
        <w:left w:val="none" w:sz="0" w:space="0" w:color="auto"/>
        <w:bottom w:val="none" w:sz="0" w:space="0" w:color="auto"/>
        <w:right w:val="none" w:sz="0" w:space="0" w:color="auto"/>
      </w:divBdr>
      <w:divsChild>
        <w:div w:id="1827865561">
          <w:marLeft w:val="0"/>
          <w:marRight w:val="0"/>
          <w:marTop w:val="0"/>
          <w:marBottom w:val="0"/>
          <w:divBdr>
            <w:top w:val="none" w:sz="0" w:space="0" w:color="auto"/>
            <w:left w:val="none" w:sz="0" w:space="0" w:color="auto"/>
            <w:bottom w:val="none" w:sz="0" w:space="0" w:color="auto"/>
            <w:right w:val="none" w:sz="0" w:space="0" w:color="auto"/>
          </w:divBdr>
          <w:divsChild>
            <w:div w:id="1382440676">
              <w:marLeft w:val="0"/>
              <w:marRight w:val="0"/>
              <w:marTop w:val="0"/>
              <w:marBottom w:val="0"/>
              <w:divBdr>
                <w:top w:val="none" w:sz="0" w:space="0" w:color="auto"/>
                <w:left w:val="none" w:sz="0" w:space="0" w:color="auto"/>
                <w:bottom w:val="none" w:sz="0" w:space="0" w:color="auto"/>
                <w:right w:val="none" w:sz="0" w:space="0" w:color="auto"/>
              </w:divBdr>
              <w:divsChild>
                <w:div w:id="1932083377">
                  <w:marLeft w:val="0"/>
                  <w:marRight w:val="0"/>
                  <w:marTop w:val="0"/>
                  <w:marBottom w:val="0"/>
                  <w:divBdr>
                    <w:top w:val="none" w:sz="0" w:space="0" w:color="auto"/>
                    <w:left w:val="none" w:sz="0" w:space="0" w:color="auto"/>
                    <w:bottom w:val="none" w:sz="0" w:space="0" w:color="auto"/>
                    <w:right w:val="none" w:sz="0" w:space="0" w:color="auto"/>
                  </w:divBdr>
                  <w:divsChild>
                    <w:div w:id="814106165">
                      <w:marLeft w:val="0"/>
                      <w:marRight w:val="0"/>
                      <w:marTop w:val="0"/>
                      <w:marBottom w:val="0"/>
                      <w:divBdr>
                        <w:top w:val="none" w:sz="0" w:space="0" w:color="auto"/>
                        <w:left w:val="none" w:sz="0" w:space="0" w:color="auto"/>
                        <w:bottom w:val="none" w:sz="0" w:space="0" w:color="auto"/>
                        <w:right w:val="none" w:sz="0" w:space="0" w:color="auto"/>
                      </w:divBdr>
                      <w:divsChild>
                        <w:div w:id="1815028683">
                          <w:marLeft w:val="0"/>
                          <w:marRight w:val="0"/>
                          <w:marTop w:val="0"/>
                          <w:marBottom w:val="0"/>
                          <w:divBdr>
                            <w:top w:val="none" w:sz="0" w:space="0" w:color="auto"/>
                            <w:left w:val="none" w:sz="0" w:space="0" w:color="auto"/>
                            <w:bottom w:val="none" w:sz="0" w:space="0" w:color="auto"/>
                            <w:right w:val="none" w:sz="0" w:space="0" w:color="auto"/>
                          </w:divBdr>
                          <w:divsChild>
                            <w:div w:id="4851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quot;appno&quot;:[&quot;61535/09&qu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quot;appno&quot;:[&quot;57875/09&qu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quot;appno&quot;:[&quot;55400/09&quot;]}" TargetMode="External"/><Relationship Id="rId20" Type="http://schemas.openxmlformats.org/officeDocument/2006/relationships/hyperlink" Target="#{&quot;appno&quot;:[&quot;37818/10&quo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yperlink" Target="#{&quot;appno&quot;:[&quot;46882/09&quot;]}"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quot;appno&quot;:[&quot;35315/10&quo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quot;appno&quot;:[&quot;57875/09&quot;]}"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7359-3382-49A4-B0CB-05AC0DF2E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3B8DD6-C314-41CB-AA12-0C53BDD92313}">
  <ds:schemaRefs>
    <ds:schemaRef ds:uri="http://schemas.microsoft.com/sharepoint/v3/contenttype/forms"/>
  </ds:schemaRefs>
</ds:datastoreItem>
</file>

<file path=customXml/itemProps3.xml><?xml version="1.0" encoding="utf-8"?>
<ds:datastoreItem xmlns:ds="http://schemas.openxmlformats.org/officeDocument/2006/customXml" ds:itemID="{B953AE76-9BFE-40E2-8A20-D712185B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7399</Words>
  <Characters>42177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49478</CharactersWithSpaces>
  <SharedDoc>false</SharedDoc>
  <HLinks>
    <vt:vector size="42" baseType="variant">
      <vt:variant>
        <vt:i4>1572953</vt:i4>
      </vt:variant>
      <vt:variant>
        <vt:i4>111</vt:i4>
      </vt:variant>
      <vt:variant>
        <vt:i4>0</vt:i4>
      </vt:variant>
      <vt:variant>
        <vt:i4>5</vt:i4>
      </vt:variant>
      <vt:variant>
        <vt:lpwstr/>
      </vt:variant>
      <vt:variant>
        <vt:lpwstr>{"appno":["37818/10"]}</vt:lpwstr>
      </vt:variant>
      <vt:variant>
        <vt:i4>1966171</vt:i4>
      </vt:variant>
      <vt:variant>
        <vt:i4>108</vt:i4>
      </vt:variant>
      <vt:variant>
        <vt:i4>0</vt:i4>
      </vt:variant>
      <vt:variant>
        <vt:i4>5</vt:i4>
      </vt:variant>
      <vt:variant>
        <vt:lpwstr/>
      </vt:variant>
      <vt:variant>
        <vt:lpwstr>{"appno":["35315/10"]}</vt:lpwstr>
      </vt:variant>
      <vt:variant>
        <vt:i4>1835092</vt:i4>
      </vt:variant>
      <vt:variant>
        <vt:i4>105</vt:i4>
      </vt:variant>
      <vt:variant>
        <vt:i4>0</vt:i4>
      </vt:variant>
      <vt:variant>
        <vt:i4>5</vt:i4>
      </vt:variant>
      <vt:variant>
        <vt:lpwstr/>
      </vt:variant>
      <vt:variant>
        <vt:lpwstr>{"appno":["61535/09"]}</vt:lpwstr>
      </vt:variant>
      <vt:variant>
        <vt:i4>1179734</vt:i4>
      </vt:variant>
      <vt:variant>
        <vt:i4>102</vt:i4>
      </vt:variant>
      <vt:variant>
        <vt:i4>0</vt:i4>
      </vt:variant>
      <vt:variant>
        <vt:i4>5</vt:i4>
      </vt:variant>
      <vt:variant>
        <vt:lpwstr/>
      </vt:variant>
      <vt:variant>
        <vt:lpwstr>{"appno":["57875/09"]}</vt:lpwstr>
      </vt:variant>
      <vt:variant>
        <vt:i4>1769555</vt:i4>
      </vt:variant>
      <vt:variant>
        <vt:i4>99</vt:i4>
      </vt:variant>
      <vt:variant>
        <vt:i4>0</vt:i4>
      </vt:variant>
      <vt:variant>
        <vt:i4>5</vt:i4>
      </vt:variant>
      <vt:variant>
        <vt:lpwstr/>
      </vt:variant>
      <vt:variant>
        <vt:lpwstr>{"appno":["55400/09"]}</vt:lpwstr>
      </vt:variant>
      <vt:variant>
        <vt:i4>1310808</vt:i4>
      </vt:variant>
      <vt:variant>
        <vt:i4>96</vt:i4>
      </vt:variant>
      <vt:variant>
        <vt:i4>0</vt:i4>
      </vt:variant>
      <vt:variant>
        <vt:i4>5</vt:i4>
      </vt:variant>
      <vt:variant>
        <vt:lpwstr/>
      </vt:variant>
      <vt:variant>
        <vt:lpwstr>{"appno":["46882/09"]}</vt:lpwstr>
      </vt:variant>
      <vt:variant>
        <vt:i4>1179734</vt:i4>
      </vt:variant>
      <vt:variant>
        <vt:i4>93</vt:i4>
      </vt:variant>
      <vt:variant>
        <vt:i4>0</vt:i4>
      </vt:variant>
      <vt:variant>
        <vt:i4>5</vt:i4>
      </vt:variant>
      <vt:variant>
        <vt:lpwstr/>
      </vt:variant>
      <vt:variant>
        <vt:lpwstr>{"appno":["57875/09"]}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2013-10-10T08:19:00Z</cp:lastPrinted>
  <dcterms:created xsi:type="dcterms:W3CDTF">2014-01-07T08:51:00Z</dcterms:created>
  <dcterms:modified xsi:type="dcterms:W3CDTF">2014-01-07T08:51:00Z</dcterms:modified>
  <cp:category>ECHR Template</cp:category>
</cp:coreProperties>
</file>